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D290">
      <w:pPr>
        <w:autoSpaceDE/>
        <w:autoSpaceDN/>
        <w:spacing w:before="100" w:beforeAutospacing="1" w:after="100" w:afterAutospacing="1" w:line="600" w:lineRule="atLeast"/>
        <w:jc w:val="center"/>
        <w:rPr>
          <w:rFonts w:hint="default" w:hAnsi="Times New Roman" w:eastAsia="楷体_GB2312"/>
          <w:b/>
          <w:spacing w:val="10"/>
          <w:sz w:val="44"/>
          <w:szCs w:val="52"/>
          <w:lang w:val="en-US" w:eastAsia="zh-CN"/>
        </w:rPr>
      </w:pPr>
      <w:r>
        <w:rPr>
          <w:rFonts w:hint="eastAsia" w:hAnsi="Times New Roman" w:eastAsia="楷体_GB2312"/>
          <w:b/>
          <w:spacing w:val="10"/>
          <w:sz w:val="44"/>
          <w:szCs w:val="52"/>
          <w:lang w:val="en-US" w:eastAsia="zh-CN"/>
        </w:rPr>
        <w:t>甘肃</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水泥有限公司</w:t>
      </w:r>
      <w:r>
        <w:rPr>
          <w:rFonts w:hint="eastAsia" w:hAnsi="Times New Roman" w:eastAsia="楷体_GB2312"/>
          <w:b/>
          <w:spacing w:val="10"/>
          <w:sz w:val="44"/>
          <w:szCs w:val="52"/>
          <w:lang w:val="en-US" w:eastAsia="zh-CN"/>
        </w:rPr>
        <w:t>石峡子矿石灰石运输</w:t>
      </w:r>
      <w:bookmarkStart w:id="14" w:name="_GoBack"/>
      <w:bookmarkEnd w:id="14"/>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编号：G</w:t>
      </w:r>
      <w:r>
        <w:rPr>
          <w:rFonts w:hint="eastAsia"/>
          <w:sz w:val="36"/>
          <w:lang w:val="en-US" w:eastAsia="zh-CN"/>
        </w:rPr>
        <w:t>SJL20250101</w:t>
      </w:r>
    </w:p>
    <w:p w14:paraId="19B8C2DC">
      <w:pPr>
        <w:spacing w:before="100" w:beforeAutospacing="1" w:after="100" w:afterAutospacing="1" w:line="440" w:lineRule="atLeast"/>
        <w:jc w:val="center"/>
        <w:rPr>
          <w:sz w:val="32"/>
        </w:rPr>
      </w:pPr>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sz w:val="32"/>
        </w:rPr>
      </w:pPr>
      <w:r>
        <w:rPr>
          <w:rFonts w:hint="eastAsia"/>
          <w:sz w:val="32"/>
        </w:rPr>
        <w:t>招标单位：</w:t>
      </w:r>
      <w:r>
        <w:rPr>
          <w:rFonts w:hint="eastAsia"/>
          <w:sz w:val="32"/>
          <w:lang w:val="en-US" w:eastAsia="zh-CN"/>
        </w:rPr>
        <w:t>甘肃</w:t>
      </w:r>
      <w:r>
        <w:rPr>
          <w:rFonts w:hint="eastAsia"/>
          <w:sz w:val="32"/>
          <w:lang w:eastAsia="zh-CN"/>
        </w:rPr>
        <w:t>京兰</w:t>
      </w:r>
      <w:r>
        <w:rPr>
          <w:rFonts w:hint="eastAsia"/>
          <w:sz w:val="32"/>
        </w:rPr>
        <w:t>水泥有限公司</w:t>
      </w:r>
    </w:p>
    <w:p w14:paraId="4058D432">
      <w:pPr>
        <w:spacing w:before="100" w:beforeAutospacing="1" w:after="100" w:afterAutospacing="1" w:line="440" w:lineRule="atLeast"/>
        <w:jc w:val="center"/>
        <w:rPr>
          <w:sz w:val="32"/>
        </w:rPr>
      </w:pPr>
      <w:r>
        <w:rPr>
          <w:rFonts w:hint="eastAsia"/>
          <w:sz w:val="32"/>
        </w:rPr>
        <w:t>20</w:t>
      </w:r>
      <w:r>
        <w:rPr>
          <w:rFonts w:hint="eastAsia"/>
          <w:sz w:val="32"/>
          <w:lang w:val="en-US" w:eastAsia="zh-CN"/>
        </w:rPr>
        <w:t>25</w:t>
      </w:r>
      <w:r>
        <w:rPr>
          <w:rFonts w:hint="eastAsia"/>
          <w:sz w:val="32"/>
        </w:rPr>
        <w:t>年</w:t>
      </w:r>
      <w:r>
        <w:rPr>
          <w:rFonts w:hint="eastAsia"/>
          <w:sz w:val="32"/>
          <w:lang w:val="en-US" w:eastAsia="zh-CN"/>
        </w:rPr>
        <w:t>1</w:t>
      </w:r>
      <w:r>
        <w:rPr>
          <w:rFonts w:hint="eastAsia"/>
          <w:sz w:val="32"/>
        </w:rPr>
        <w:t>月</w:t>
      </w:r>
    </w:p>
    <w:p w14:paraId="4E0D8E6B"/>
    <w:p w14:paraId="6BCE756A"/>
    <w:p w14:paraId="2C743C20"/>
    <w:p w14:paraId="24B4EB7D"/>
    <w:p w14:paraId="2ADE7645"/>
    <w:p w14:paraId="254ACB30"/>
    <w:p w14:paraId="215F8863"/>
    <w:p w14:paraId="5F642651"/>
    <w:p w14:paraId="49FFAE2E"/>
    <w:p w14:paraId="68A548B9"/>
    <w:p w14:paraId="38402A78"/>
    <w:p w14:paraId="75EC0E46">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7DE5671C">
      <w:pPr>
        <w:spacing w:before="100" w:beforeAutospacing="1" w:after="100" w:afterAutospacing="1" w:line="440" w:lineRule="atLeast"/>
        <w:rPr>
          <w:rFonts w:ascii="Times New Roman" w:hAnsi="Times New Roman"/>
          <w:b/>
          <w:bCs/>
          <w:sz w:val="32"/>
          <w:szCs w:val="32"/>
        </w:rPr>
      </w:pPr>
    </w:p>
    <w:p w14:paraId="555329AB">
      <w:pPr>
        <w:pStyle w:val="18"/>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1EF9685C">
      <w:pPr>
        <w:spacing w:before="100" w:beforeAutospacing="1" w:after="100" w:afterAutospacing="1" w:line="440" w:lineRule="atLeast"/>
        <w:rPr>
          <w:rFonts w:ascii="Times New Roman" w:hAnsi="Times New Roman"/>
          <w:bCs/>
          <w:sz w:val="32"/>
          <w:szCs w:val="32"/>
        </w:rPr>
      </w:pPr>
    </w:p>
    <w:p w14:paraId="729E83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3AE47E36">
      <w:pPr>
        <w:spacing w:before="100" w:beforeAutospacing="1" w:after="100" w:afterAutospacing="1" w:line="440" w:lineRule="atLeast"/>
        <w:ind w:left="1290"/>
        <w:rPr>
          <w:rFonts w:ascii="Times New Roman" w:hAnsi="Times New Roman"/>
          <w:bCs/>
          <w:sz w:val="32"/>
          <w:szCs w:val="32"/>
        </w:rPr>
      </w:pPr>
    </w:p>
    <w:p w14:paraId="55C478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59C2C8C5">
      <w:pPr>
        <w:spacing w:before="100" w:beforeAutospacing="1" w:after="100" w:afterAutospacing="1" w:line="440" w:lineRule="atLeast"/>
        <w:rPr>
          <w:rFonts w:ascii="Times New Roman" w:hAnsi="Times New Roman"/>
          <w:color w:val="FF0000"/>
          <w:sz w:val="24"/>
        </w:rPr>
      </w:pPr>
    </w:p>
    <w:p w14:paraId="20214048">
      <w:pPr>
        <w:spacing w:before="100" w:beforeAutospacing="1" w:after="100" w:afterAutospacing="1" w:line="440" w:lineRule="atLeast"/>
        <w:rPr>
          <w:rFonts w:ascii="Times New Roman" w:hAnsi="Times New Roman"/>
          <w:b/>
          <w:bCs/>
          <w:sz w:val="32"/>
          <w:szCs w:val="32"/>
        </w:rPr>
      </w:pPr>
    </w:p>
    <w:p w14:paraId="157BB23F">
      <w:pPr>
        <w:rPr>
          <w:rFonts w:ascii="Times New Roman" w:hAnsi="Times New Roman"/>
        </w:rPr>
      </w:pPr>
    </w:p>
    <w:p w14:paraId="52F7F4C4">
      <w:pPr>
        <w:rPr>
          <w:rFonts w:ascii="Times New Roman" w:hAnsi="Times New Roman"/>
        </w:rPr>
      </w:pPr>
    </w:p>
    <w:p w14:paraId="31378D38">
      <w:pPr>
        <w:rPr>
          <w:rFonts w:ascii="Times New Roman" w:hAnsi="Times New Roman"/>
        </w:rPr>
      </w:pPr>
    </w:p>
    <w:p w14:paraId="0AE4E8D9">
      <w:pPr>
        <w:rPr>
          <w:rFonts w:ascii="Times New Roman" w:hAnsi="Times New Roman"/>
        </w:rPr>
      </w:pPr>
    </w:p>
    <w:p w14:paraId="564E553E">
      <w:pPr>
        <w:rPr>
          <w:rFonts w:ascii="Times New Roman" w:hAnsi="Times New Roman"/>
        </w:rPr>
      </w:pPr>
    </w:p>
    <w:p w14:paraId="63557D98">
      <w:pPr>
        <w:rPr>
          <w:rFonts w:ascii="Times New Roman" w:hAnsi="Times New Roman"/>
        </w:rPr>
      </w:pPr>
    </w:p>
    <w:p w14:paraId="5C6C2582">
      <w:pPr>
        <w:rPr>
          <w:rFonts w:ascii="Times New Roman" w:hAnsi="Times New Roman"/>
        </w:rPr>
      </w:pPr>
    </w:p>
    <w:p w14:paraId="2904A1F0">
      <w:pPr>
        <w:rPr>
          <w:rFonts w:ascii="Times New Roman" w:hAnsi="Times New Roman"/>
        </w:rPr>
      </w:pPr>
    </w:p>
    <w:p w14:paraId="26290FF0">
      <w:pPr>
        <w:rPr>
          <w:rFonts w:ascii="Times New Roman" w:hAnsi="Times New Roman"/>
        </w:rPr>
      </w:pPr>
    </w:p>
    <w:p w14:paraId="3BAE8553">
      <w:pPr>
        <w:rPr>
          <w:rFonts w:ascii="Times New Roman" w:hAnsi="Times New Roman"/>
        </w:rPr>
      </w:pPr>
    </w:p>
    <w:p w14:paraId="48B6FB34">
      <w:pPr>
        <w:rPr>
          <w:rFonts w:ascii="Times New Roman" w:hAnsi="Times New Roman"/>
        </w:rPr>
      </w:pPr>
    </w:p>
    <w:p w14:paraId="319059A8">
      <w:pPr>
        <w:rPr>
          <w:rFonts w:ascii="Times New Roman" w:hAnsi="Times New Roman"/>
        </w:rPr>
      </w:pPr>
    </w:p>
    <w:p w14:paraId="510B0286">
      <w:pPr>
        <w:rPr>
          <w:rFonts w:ascii="Times New Roman" w:hAnsi="Times New Roman"/>
        </w:rPr>
      </w:pPr>
    </w:p>
    <w:p w14:paraId="08A8A27A">
      <w:pPr>
        <w:rPr>
          <w:rFonts w:ascii="Times New Roman" w:hAnsi="Times New Roman"/>
        </w:rPr>
      </w:pPr>
    </w:p>
    <w:p w14:paraId="41AABF85">
      <w:pPr>
        <w:rPr>
          <w:rFonts w:ascii="Times New Roman" w:hAnsi="Times New Roman"/>
        </w:rPr>
      </w:pPr>
    </w:p>
    <w:p w14:paraId="4E965FDF">
      <w:pPr>
        <w:rPr>
          <w:rFonts w:ascii="Times New Roman" w:hAnsi="Times New Roman"/>
        </w:rPr>
      </w:pPr>
    </w:p>
    <w:p w14:paraId="27957862">
      <w:pPr>
        <w:rPr>
          <w:rFonts w:ascii="Times New Roman" w:hAnsi="Times New Roman"/>
        </w:rPr>
      </w:pPr>
    </w:p>
    <w:p w14:paraId="78E3FE80">
      <w:pPr>
        <w:rPr>
          <w:rFonts w:ascii="Times New Roman" w:hAnsi="Times New Roman"/>
        </w:rPr>
      </w:pPr>
    </w:p>
    <w:p w14:paraId="0D2415D6">
      <w:pPr>
        <w:rPr>
          <w:rFonts w:ascii="Times New Roman" w:hAnsi="Times New Roman"/>
        </w:rPr>
      </w:pPr>
    </w:p>
    <w:p w14:paraId="4D97C42B">
      <w:pPr>
        <w:pStyle w:val="3"/>
        <w:numPr>
          <w:ilvl w:val="0"/>
          <w:numId w:val="2"/>
        </w:numPr>
        <w:jc w:val="center"/>
      </w:pPr>
      <w:bookmarkStart w:id="0" w:name="_Toc216059986"/>
      <w:r>
        <w:rPr>
          <w:rFonts w:ascii="Times New Roman" w:hAnsi="Times New Roman"/>
          <w:b w:val="0"/>
        </w:rPr>
        <w:t>投标须知</w:t>
      </w:r>
      <w:bookmarkEnd w:id="0"/>
    </w:p>
    <w:p w14:paraId="10EF9424"/>
    <w:p w14:paraId="1AE3685B">
      <w:pPr>
        <w:pStyle w:val="4"/>
        <w:keepNext w:val="0"/>
        <w:keepLines w:val="0"/>
        <w:numPr>
          <w:ilvl w:val="0"/>
          <w:numId w:val="3"/>
        </w:numPr>
        <w:spacing w:line="240" w:lineRule="atLeast"/>
        <w:rPr>
          <w:b w:val="0"/>
        </w:rPr>
      </w:pPr>
      <w:r>
        <w:rPr>
          <w:b w:val="0"/>
        </w:rPr>
        <w:t>前附表</w:t>
      </w:r>
    </w:p>
    <w:tbl>
      <w:tblPr>
        <w:tblStyle w:val="9"/>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4954A174">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3FB3934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30EA4AD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64DDDB64">
            <w:pPr>
              <w:autoSpaceDE/>
              <w:autoSpaceDN/>
              <w:spacing w:before="100" w:beforeAutospacing="1" w:after="100" w:afterAutospacing="1" w:line="600" w:lineRule="atLeast"/>
              <w:rPr>
                <w:rFonts w:hint="default" w:hAnsi="宋体" w:eastAsia="宋体"/>
                <w:spacing w:val="10"/>
                <w:lang w:val="en-US" w:eastAsia="zh-CN"/>
              </w:rPr>
            </w:pPr>
            <w:r>
              <w:rPr>
                <w:rFonts w:hint="eastAsia" w:hAnsi="宋体"/>
                <w:spacing w:val="10"/>
              </w:rPr>
              <w:t xml:space="preserve"> </w:t>
            </w:r>
            <w:r>
              <w:rPr>
                <w:rFonts w:hint="eastAsia" w:hAnsi="宋体"/>
                <w:spacing w:val="10"/>
                <w:lang w:val="en-US" w:eastAsia="zh-CN"/>
              </w:rPr>
              <w:t>石峡子矿石灰石运输招标</w:t>
            </w:r>
          </w:p>
        </w:tc>
      </w:tr>
      <w:tr w14:paraId="47447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72C0B48">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4DE68140">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技术指标及质量考核 </w:t>
            </w:r>
          </w:p>
        </w:tc>
        <w:tc>
          <w:tcPr>
            <w:tcW w:w="6028" w:type="dxa"/>
            <w:vAlign w:val="center"/>
          </w:tcPr>
          <w:p w14:paraId="49953632">
            <w:pPr>
              <w:spacing w:line="400" w:lineRule="exact"/>
              <w:ind w:right="15"/>
              <w:rPr>
                <w:rFonts w:ascii="Times New Roman" w:hAnsi="Times New Roman"/>
              </w:rPr>
            </w:pPr>
            <w:r>
              <w:rPr>
                <w:rFonts w:hint="eastAsia" w:hAnsi="宋体"/>
                <w:spacing w:val="10"/>
              </w:rPr>
              <w:t xml:space="preserve"> 见指标要求和进厂质量考核办法</w:t>
            </w:r>
          </w:p>
        </w:tc>
      </w:tr>
      <w:tr w14:paraId="3309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6B3CC1D">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32D92D5E">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0FDE7481">
            <w:pPr>
              <w:tabs>
                <w:tab w:val="left" w:pos="3203"/>
                <w:tab w:val="center" w:pos="4350"/>
              </w:tabs>
              <w:spacing w:line="400" w:lineRule="exact"/>
              <w:ind w:right="31"/>
              <w:rPr>
                <w:rFonts w:hint="default" w:ascii="Times New Roman" w:hAnsi="Times New Roman" w:eastAsia="宋体"/>
                <w:lang w:val="en-US" w:eastAsia="zh-CN"/>
              </w:rPr>
            </w:pPr>
            <w:r>
              <w:rPr>
                <w:rFonts w:hint="eastAsia" w:hAnsi="宋体" w:cs="宋体"/>
                <w:color w:val="000000"/>
                <w:highlight w:val="none"/>
              </w:rPr>
              <w:t>具有独立法人资格的经营单位</w:t>
            </w:r>
            <w:r>
              <w:rPr>
                <w:rFonts w:hint="eastAsia" w:hAnsi="宋体" w:cs="宋体"/>
                <w:color w:val="000000"/>
                <w:highlight w:val="none"/>
                <w:lang w:eastAsia="zh-CN"/>
              </w:rPr>
              <w:t>、</w:t>
            </w:r>
            <w:r>
              <w:rPr>
                <w:rFonts w:hint="eastAsia" w:hAnsi="宋体" w:cs="宋体"/>
                <w:color w:val="000000"/>
                <w:highlight w:val="none"/>
                <w:lang w:val="en-US" w:eastAsia="zh-CN"/>
              </w:rPr>
              <w:t>具有道路运输许可证、具有矿石、渣土等承运业绩、车辆资源稳定、能严格按需求派车</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3B8449D8">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0CAC5A6C">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lang w:val="en-US" w:eastAsia="zh-CN"/>
              </w:rPr>
              <w:t>石峡子矿石灰石运输</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ascii="Times New Roman" w:hAnsi="Times New Roman"/>
              </w:rPr>
            </w:pPr>
            <w:r>
              <w:rPr>
                <w:rFonts w:hint="eastAsia" w:ascii="Times New Roman" w:hAnsi="Times New Roman"/>
              </w:rPr>
              <w:t>5</w:t>
            </w:r>
          </w:p>
        </w:tc>
        <w:tc>
          <w:tcPr>
            <w:tcW w:w="1586" w:type="dxa"/>
            <w:vAlign w:val="center"/>
          </w:tcPr>
          <w:p w14:paraId="04409F87">
            <w:pPr>
              <w:jc w:val="center"/>
              <w:rPr>
                <w:rFonts w:ascii="Times New Roman" w:hAnsi="Times New Roman"/>
              </w:rPr>
            </w:pPr>
            <w:r>
              <w:rPr>
                <w:rFonts w:ascii="Times New Roman" w:hAnsi="Times New Roman"/>
              </w:rPr>
              <w:t>招投标时间表</w:t>
            </w:r>
          </w:p>
        </w:tc>
        <w:tc>
          <w:tcPr>
            <w:tcW w:w="6028" w:type="dxa"/>
          </w:tcPr>
          <w:tbl>
            <w:tblPr>
              <w:tblStyle w:val="9"/>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投标</w:t>
                  </w:r>
                </w:p>
              </w:tc>
              <w:tc>
                <w:tcPr>
                  <w:tcW w:w="5280" w:type="dxa"/>
                </w:tcPr>
                <w:p w14:paraId="53B14F8E">
                  <w:pPr>
                    <w:tabs>
                      <w:tab w:val="left" w:pos="3203"/>
                      <w:tab w:val="center" w:pos="4350"/>
                    </w:tabs>
                    <w:spacing w:line="400" w:lineRule="exact"/>
                    <w:ind w:right="31"/>
                    <w:rPr>
                      <w:rFonts w:hint="eastAsia" w:ascii="Times New Roman" w:hAnsi="Times New Roman"/>
                      <w:lang w:val="en-US" w:eastAsia="zh-CN"/>
                    </w:rPr>
                  </w:pPr>
                  <w:r>
                    <w:rPr>
                      <w:rFonts w:hint="eastAsia" w:ascii="Times New Roman" w:hAnsi="Times New Roman"/>
                      <w:lang w:val="en-US" w:eastAsia="zh-CN"/>
                    </w:rPr>
                    <w:t>报名截止时间： 2025</w:t>
                  </w:r>
                  <w:r>
                    <w:rPr>
                      <w:rFonts w:hint="eastAsia" w:ascii="Times New Roman" w:hAnsi="Times New Roman"/>
                    </w:rPr>
                    <w:t xml:space="preserve">  年 </w:t>
                  </w:r>
                  <w:r>
                    <w:rPr>
                      <w:rFonts w:hint="eastAsia" w:ascii="Times New Roman" w:hAnsi="Times New Roman"/>
                      <w:lang w:val="en-US" w:eastAsia="zh-CN"/>
                    </w:rPr>
                    <w:t>1</w:t>
                  </w:r>
                  <w:r>
                    <w:rPr>
                      <w:rFonts w:hint="eastAsia" w:ascii="Times New Roman" w:hAnsi="Times New Roman"/>
                    </w:rPr>
                    <w:t xml:space="preserve"> 月</w:t>
                  </w:r>
                  <w:r>
                    <w:rPr>
                      <w:rFonts w:hint="eastAsia" w:ascii="Times New Roman" w:hAnsi="Times New Roman"/>
                      <w:lang w:val="en-US" w:eastAsia="zh-CN"/>
                    </w:rPr>
                    <w:t xml:space="preserve"> 10</w:t>
                  </w:r>
                  <w:r>
                    <w:rPr>
                      <w:rFonts w:hint="eastAsia" w:ascii="Times New Roman" w:hAnsi="Times New Roman"/>
                    </w:rPr>
                    <w:t xml:space="preserve"> 日</w:t>
                  </w:r>
                  <w:r>
                    <w:rPr>
                      <w:rFonts w:hint="eastAsia" w:ascii="Times New Roman" w:hAnsi="Times New Roman"/>
                      <w:lang w:val="en-US" w:eastAsia="zh-CN"/>
                    </w:rPr>
                    <w:t>下午 5</w:t>
                  </w:r>
                  <w:r>
                    <w:rPr>
                      <w:rFonts w:hint="eastAsia" w:ascii="Times New Roman" w:hAnsi="Times New Roman"/>
                    </w:rPr>
                    <w:t>:00</w:t>
                  </w:r>
                </w:p>
                <w:p w14:paraId="7486A3D7">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投标截止时间： </w:t>
                  </w:r>
                  <w:r>
                    <w:rPr>
                      <w:rFonts w:hint="eastAsia" w:ascii="Times New Roman" w:hAnsi="Times New Roman"/>
                      <w:lang w:val="en-US" w:eastAsia="zh-CN"/>
                    </w:rPr>
                    <w:t>2025</w:t>
                  </w:r>
                  <w:r>
                    <w:rPr>
                      <w:rFonts w:hint="eastAsia" w:ascii="Times New Roman" w:hAnsi="Times New Roman"/>
                    </w:rPr>
                    <w:t xml:space="preserve">  年 </w:t>
                  </w:r>
                  <w:r>
                    <w:rPr>
                      <w:rFonts w:hint="eastAsia" w:ascii="Times New Roman" w:hAnsi="Times New Roman"/>
                      <w:lang w:val="en-US" w:eastAsia="zh-CN"/>
                    </w:rPr>
                    <w:t>1</w:t>
                  </w:r>
                  <w:r>
                    <w:rPr>
                      <w:rFonts w:hint="eastAsia" w:ascii="Times New Roman" w:hAnsi="Times New Roman"/>
                    </w:rPr>
                    <w:t xml:space="preserve"> 月</w:t>
                  </w:r>
                  <w:r>
                    <w:rPr>
                      <w:rFonts w:hint="eastAsia" w:ascii="Times New Roman" w:hAnsi="Times New Roman"/>
                      <w:lang w:val="en-US" w:eastAsia="zh-CN"/>
                    </w:rPr>
                    <w:t xml:space="preserve"> 17</w:t>
                  </w:r>
                  <w:r>
                    <w:rPr>
                      <w:rFonts w:hint="eastAsia" w:ascii="Times New Roman" w:hAnsi="Times New Roman"/>
                    </w:rPr>
                    <w:t xml:space="preserve"> 日</w:t>
                  </w:r>
                  <w:r>
                    <w:rPr>
                      <w:rFonts w:hint="eastAsia" w:ascii="Times New Roman" w:hAnsi="Times New Roman"/>
                      <w:lang w:val="en-US" w:eastAsia="zh-CN"/>
                    </w:rPr>
                    <w:t>上午 8</w:t>
                  </w:r>
                  <w:r>
                    <w:rPr>
                      <w:rFonts w:hint="eastAsia" w:ascii="Times New Roman" w:hAnsi="Times New Roman"/>
                    </w:rPr>
                    <w:t>:</w:t>
                  </w:r>
                  <w:r>
                    <w:rPr>
                      <w:rFonts w:hint="eastAsia" w:ascii="Times New Roman" w:hAnsi="Times New Roman"/>
                      <w:lang w:val="en-US" w:eastAsia="zh-CN"/>
                    </w:rPr>
                    <w:t>3</w:t>
                  </w:r>
                  <w:r>
                    <w:rPr>
                      <w:rFonts w:hint="eastAsia" w:ascii="Times New Roman" w:hAnsi="Times New Roman"/>
                    </w:rPr>
                    <w:t>0</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2770EB3D">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0EAA0C3">
                  <w:pPr>
                    <w:tabs>
                      <w:tab w:val="left" w:pos="3203"/>
                      <w:tab w:val="center" w:pos="4350"/>
                    </w:tabs>
                    <w:spacing w:line="400" w:lineRule="exact"/>
                    <w:ind w:right="31"/>
                    <w:rPr>
                      <w:rFonts w:ascii="Times New Roman" w:hAnsi="Times New Roman"/>
                    </w:rPr>
                  </w:pPr>
                  <w:r>
                    <w:rPr>
                      <w:rFonts w:hint="eastAsia" w:ascii="Times New Roman" w:hAnsi="Times New Roman"/>
                    </w:rPr>
                    <w:t xml:space="preserve">日期: </w:t>
                  </w:r>
                  <w:r>
                    <w:rPr>
                      <w:rFonts w:hint="eastAsia" w:ascii="Times New Roman" w:hAnsi="Times New Roman"/>
                      <w:lang w:val="en-US" w:eastAsia="zh-CN"/>
                    </w:rPr>
                    <w:t>2025</w:t>
                  </w:r>
                  <w:r>
                    <w:rPr>
                      <w:rFonts w:hint="eastAsia" w:ascii="Times New Roman" w:hAnsi="Times New Roman"/>
                    </w:rPr>
                    <w:t xml:space="preserve"> 年 </w:t>
                  </w:r>
                  <w:r>
                    <w:rPr>
                      <w:rFonts w:hint="eastAsia" w:ascii="Times New Roman" w:hAnsi="Times New Roman"/>
                      <w:lang w:val="en-US" w:eastAsia="zh-CN"/>
                    </w:rPr>
                    <w:t xml:space="preserve">1 </w:t>
                  </w:r>
                  <w:r>
                    <w:rPr>
                      <w:rFonts w:hint="eastAsia" w:ascii="Times New Roman" w:hAnsi="Times New Roman"/>
                    </w:rPr>
                    <w:t xml:space="preserve">月 </w:t>
                  </w:r>
                  <w:r>
                    <w:rPr>
                      <w:rFonts w:hint="eastAsia" w:ascii="Times New Roman" w:hAnsi="Times New Roman"/>
                      <w:lang w:val="en-US" w:eastAsia="zh-CN"/>
                    </w:rPr>
                    <w:t xml:space="preserve">17 </w:t>
                  </w:r>
                  <w:r>
                    <w:rPr>
                      <w:rFonts w:hint="eastAsia" w:ascii="Times New Roman" w:hAnsi="Times New Roman"/>
                    </w:rPr>
                    <w:t>日上午</w:t>
                  </w:r>
                  <w:r>
                    <w:rPr>
                      <w:rFonts w:hint="eastAsia" w:ascii="Times New Roman" w:hAnsi="Times New Roman"/>
                      <w:lang w:val="en-US" w:eastAsia="zh-CN"/>
                    </w:rPr>
                    <w:t>9</w:t>
                  </w:r>
                  <w:r>
                    <w:rPr>
                      <w:rFonts w:hint="eastAsia" w:ascii="Times New Roman" w:hAnsi="Times New Roman"/>
                    </w:rPr>
                    <w:t>:</w:t>
                  </w:r>
                  <w:r>
                    <w:rPr>
                      <w:rFonts w:hint="eastAsia" w:ascii="Times New Roman" w:hAnsi="Times New Roman"/>
                      <w:lang w:val="en-US" w:eastAsia="zh-CN"/>
                    </w:rPr>
                    <w:t>0</w:t>
                  </w:r>
                  <w:r>
                    <w:rPr>
                      <w:rFonts w:hint="eastAsia" w:ascii="Times New Roman" w:hAnsi="Times New Roman"/>
                    </w:rPr>
                    <w:t>0</w:t>
                  </w:r>
                </w:p>
              </w:tc>
            </w:tr>
          </w:tbl>
          <w:p w14:paraId="0074013E">
            <w:pPr>
              <w:rPr>
                <w:rFonts w:ascii="Times New Roman" w:hAnsi="Times New Roman"/>
              </w:rPr>
            </w:pPr>
          </w:p>
        </w:tc>
      </w:tr>
      <w:tr w14:paraId="52508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64CDE5C">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67A8632E">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1FCB49FD">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运费</w:t>
            </w:r>
            <w:r>
              <w:rPr>
                <w:rFonts w:hint="eastAsia" w:ascii="Times New Roman" w:hAnsi="Times New Roman"/>
              </w:rPr>
              <w:t>含税单价并写明税率</w:t>
            </w:r>
          </w:p>
        </w:tc>
      </w:tr>
      <w:tr w14:paraId="06DC6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206F149">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445BE5F3">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18DE059F">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4843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BCE0DE2">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0154D697">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028" w:type="dxa"/>
            <w:vAlign w:val="center"/>
          </w:tcPr>
          <w:p w14:paraId="4D7721C9">
            <w:pPr>
              <w:tabs>
                <w:tab w:val="left" w:pos="3203"/>
                <w:tab w:val="center" w:pos="4350"/>
              </w:tabs>
              <w:spacing w:line="400" w:lineRule="exact"/>
              <w:ind w:right="31"/>
              <w:rPr>
                <w:rFonts w:ascii="Times New Roman" w:hAnsi="Times New Roman"/>
              </w:rPr>
            </w:pPr>
            <w:r>
              <w:rPr>
                <w:rFonts w:hint="eastAsia" w:ascii="Times New Roman" w:hAnsi="Times New Roman"/>
              </w:rPr>
              <w:t>1、</w:t>
            </w:r>
            <w:r>
              <w:rPr>
                <w:rFonts w:hint="eastAsia" w:ascii="Times New Roman" w:hAnsi="Times New Roman"/>
                <w:lang w:val="en-US" w:eastAsia="zh-CN"/>
              </w:rPr>
              <w:t>投标公司</w:t>
            </w:r>
            <w:r>
              <w:rPr>
                <w:rFonts w:hint="eastAsia" w:ascii="Times New Roman" w:hAnsi="Times New Roman"/>
              </w:rPr>
              <w:t>所有投标文件都必须附有投标保证金，金额为</w:t>
            </w:r>
            <w:r>
              <w:rPr>
                <w:rFonts w:hint="eastAsia" w:ascii="Times New Roman" w:hAnsi="Times New Roman"/>
                <w:lang w:val="en-US" w:eastAsia="zh-CN"/>
              </w:rPr>
              <w:t>伍</w:t>
            </w:r>
            <w:r>
              <w:rPr>
                <w:rFonts w:hint="eastAsia" w:ascii="Times New Roman" w:hAnsi="Times New Roman"/>
              </w:rPr>
              <w:t>万元人民币。未按规定提供投标保证金的投标文件将被拒绝。投标保证金以银行转账缴纳。</w:t>
            </w: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水泥有限公司无息向未中标的投标方返还投标保证金。中标单位的投标保证金自动转为合同履约保证金。</w:t>
            </w:r>
          </w:p>
          <w:p w14:paraId="00FC30D3">
            <w:pPr>
              <w:tabs>
                <w:tab w:val="left" w:pos="3203"/>
                <w:tab w:val="center" w:pos="4350"/>
              </w:tabs>
              <w:spacing w:line="400" w:lineRule="exact"/>
              <w:ind w:right="31"/>
              <w:rPr>
                <w:rFonts w:ascii="Times New Roman" w:hAnsi="Times New Roman"/>
              </w:rPr>
            </w:pPr>
            <w:r>
              <w:rPr>
                <w:rFonts w:hint="eastAsia" w:ascii="Times New Roman" w:hAnsi="Times New Roman"/>
              </w:rPr>
              <w:t>2、招标方只接受银行转账的投标保证金，投标保证金请银行转账以下帐号：</w:t>
            </w:r>
          </w:p>
          <w:p w14:paraId="0F82B920">
            <w:pPr>
              <w:tabs>
                <w:tab w:val="left" w:pos="3203"/>
                <w:tab w:val="center" w:pos="4350"/>
              </w:tabs>
              <w:spacing w:line="400" w:lineRule="exact"/>
              <w:ind w:right="31"/>
              <w:rPr>
                <w:rFonts w:ascii="Times New Roman" w:hAnsi="Times New Roman"/>
              </w:rPr>
            </w:pPr>
            <w:r>
              <w:rPr>
                <w:rFonts w:hint="eastAsia" w:ascii="Times New Roman" w:hAnsi="Times New Roman"/>
              </w:rPr>
              <w:t>单位：</w:t>
            </w: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w:t>
            </w:r>
          </w:p>
          <w:p w14:paraId="66B18125">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开户银行：</w:t>
            </w:r>
            <w:r>
              <w:rPr>
                <w:rFonts w:hint="eastAsia" w:ascii="Times New Roman" w:hAnsi="Times New Roman"/>
                <w:lang w:val="en-US" w:eastAsia="zh-CN"/>
              </w:rPr>
              <w:t>兰州银行榆中东城支行</w:t>
            </w:r>
          </w:p>
          <w:p w14:paraId="2AA339D5">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账号：</w:t>
            </w:r>
            <w:r>
              <w:rPr>
                <w:rFonts w:ascii="宋体" w:hAnsi="宋体" w:eastAsia="宋体" w:cs="宋体"/>
                <w:sz w:val="24"/>
                <w:szCs w:val="24"/>
              </w:rPr>
              <w:t>10195</w:t>
            </w:r>
            <w:r>
              <w:rPr>
                <w:rFonts w:hint="eastAsia" w:hAnsi="宋体" w:cs="宋体"/>
                <w:sz w:val="24"/>
                <w:szCs w:val="24"/>
                <w:lang w:val="en-US" w:eastAsia="zh-CN"/>
              </w:rPr>
              <w:t xml:space="preserve"> </w:t>
            </w:r>
            <w:r>
              <w:rPr>
                <w:rFonts w:ascii="宋体" w:hAnsi="宋体" w:eastAsia="宋体" w:cs="宋体"/>
                <w:sz w:val="24"/>
                <w:szCs w:val="24"/>
              </w:rPr>
              <w:t>20003</w:t>
            </w:r>
            <w:r>
              <w:rPr>
                <w:rFonts w:hint="eastAsia" w:hAnsi="宋体" w:cs="宋体"/>
                <w:sz w:val="24"/>
                <w:szCs w:val="24"/>
                <w:lang w:val="en-US" w:eastAsia="zh-CN"/>
              </w:rPr>
              <w:t xml:space="preserve"> </w:t>
            </w:r>
            <w:r>
              <w:rPr>
                <w:rFonts w:ascii="宋体" w:hAnsi="宋体" w:eastAsia="宋体" w:cs="宋体"/>
                <w:sz w:val="24"/>
                <w:szCs w:val="24"/>
              </w:rPr>
              <w:t>53433</w:t>
            </w:r>
          </w:p>
          <w:p w14:paraId="71A3C576">
            <w:pPr>
              <w:tabs>
                <w:tab w:val="left" w:pos="3203"/>
                <w:tab w:val="center" w:pos="4350"/>
              </w:tabs>
              <w:spacing w:line="400" w:lineRule="exact"/>
              <w:ind w:right="31"/>
              <w:rPr>
                <w:rFonts w:ascii="Times New Roman" w:hAnsi="Times New Roman"/>
              </w:rPr>
            </w:pPr>
            <w:r>
              <w:rPr>
                <w:rFonts w:hint="eastAsia" w:ascii="Times New Roman" w:hAnsi="Times New Roman"/>
              </w:rPr>
              <w:t>银行转账成功后，请将凭证单发给</w:t>
            </w: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w:t>
            </w:r>
          </w:p>
        </w:tc>
      </w:tr>
      <w:tr w14:paraId="04DF9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48E433">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4DF17650">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42B8E01B">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481BE092">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8593BF1">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w:t>
            </w:r>
            <w:r>
              <w:rPr>
                <w:rFonts w:hint="eastAsia" w:ascii="Times New Roman" w:hAnsi="Times New Roman"/>
                <w:lang w:eastAsia="zh-CN"/>
              </w:rPr>
              <w:t>办公楼</w:t>
            </w:r>
            <w:r>
              <w:rPr>
                <w:rFonts w:hint="eastAsia" w:ascii="Times New Roman" w:hAnsi="Times New Roman"/>
              </w:rPr>
              <w:t>会议室。现场投标、开标、议标。投标单位带上公章以便现场签署相关文件。</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1506A85C">
            <w:pPr>
              <w:spacing w:line="400" w:lineRule="exact"/>
              <w:ind w:right="15"/>
              <w:rPr>
                <w:rFonts w:ascii="Times New Roman" w:hAnsi="Times New Roman"/>
              </w:rPr>
            </w:pPr>
            <w:r>
              <w:rPr>
                <w:rFonts w:ascii="Times New Roman" w:hAnsi="Times New Roman" w:eastAsia="楷体_GB2312"/>
              </w:rPr>
              <w:t>上述时间、地点如有变动，以招标单位</w:t>
            </w:r>
            <w:r>
              <w:rPr>
                <w:rFonts w:hint="eastAsia" w:ascii="Times New Roman" w:hAnsi="Times New Roman" w:eastAsia="楷体_GB2312"/>
                <w:lang w:val="en-US" w:eastAsia="zh-CN"/>
              </w:rPr>
              <w:t>实时</w:t>
            </w:r>
            <w:r>
              <w:rPr>
                <w:rFonts w:ascii="Times New Roman" w:hAnsi="Times New Roman" w:eastAsia="楷体_GB2312"/>
              </w:rPr>
              <w:t>通知为准。</w:t>
            </w:r>
          </w:p>
        </w:tc>
      </w:tr>
    </w:tbl>
    <w:p w14:paraId="3FA367F9">
      <w:pPr>
        <w:rPr>
          <w:rStyle w:val="13"/>
          <w:b w:val="0"/>
        </w:rPr>
      </w:pPr>
      <w:bookmarkStart w:id="1" w:name="_Toc216059988"/>
    </w:p>
    <w:p w14:paraId="1EDB4034">
      <w:pPr>
        <w:numPr>
          <w:ilvl w:val="0"/>
          <w:numId w:val="4"/>
        </w:numPr>
        <w:rPr>
          <w:rStyle w:val="13"/>
          <w:b w:val="0"/>
        </w:rPr>
      </w:pPr>
      <w:r>
        <w:rPr>
          <w:rStyle w:val="13"/>
          <w:b w:val="0"/>
        </w:rPr>
        <w:t>概述</w:t>
      </w:r>
      <w:bookmarkEnd w:id="1"/>
    </w:p>
    <w:p w14:paraId="38B4198F">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项目简况</w:t>
      </w:r>
    </w:p>
    <w:p w14:paraId="13803166">
      <w:pPr>
        <w:numPr>
          <w:ilvl w:val="2"/>
          <w:numId w:val="5"/>
        </w:numPr>
        <w:rPr>
          <w:rFonts w:ascii="Times New Roman" w:hAnsi="Times New Roman"/>
        </w:rPr>
      </w:pPr>
      <w:r>
        <w:rPr>
          <w:rFonts w:ascii="Times New Roman" w:hAnsi="Times New Roman"/>
        </w:rPr>
        <w:t>项目名称：</w:t>
      </w:r>
      <w:r>
        <w:rPr>
          <w:rFonts w:hint="eastAsia" w:hAnsi="宋体"/>
          <w:spacing w:val="10"/>
          <w:lang w:val="en-US" w:eastAsia="zh-CN"/>
        </w:rPr>
        <w:t>甘肃</w:t>
      </w:r>
      <w:r>
        <w:rPr>
          <w:rFonts w:hint="eastAsia" w:hAnsi="宋体"/>
          <w:spacing w:val="10"/>
          <w:lang w:eastAsia="zh-CN"/>
        </w:rPr>
        <w:t>京兰</w:t>
      </w:r>
      <w:r>
        <w:rPr>
          <w:rFonts w:hint="eastAsia" w:hAnsi="宋体"/>
          <w:spacing w:val="10"/>
        </w:rPr>
        <w:t>水泥有限公司</w:t>
      </w:r>
      <w:r>
        <w:rPr>
          <w:rFonts w:hint="eastAsia" w:hAnsi="宋体"/>
          <w:spacing w:val="10"/>
          <w:lang w:val="en-US" w:eastAsia="zh-CN"/>
        </w:rPr>
        <w:t>石峡子矿石灰石运输项目</w:t>
      </w:r>
    </w:p>
    <w:p w14:paraId="159835F9">
      <w:pPr>
        <w:numPr>
          <w:ilvl w:val="2"/>
          <w:numId w:val="5"/>
        </w:numPr>
        <w:rPr>
          <w:rFonts w:ascii="Times New Roman" w:hAnsi="Times New Roman"/>
        </w:rPr>
      </w:pPr>
      <w:r>
        <w:rPr>
          <w:rFonts w:ascii="Times New Roman" w:hAnsi="Times New Roman"/>
        </w:rPr>
        <w:t>项目地点：</w:t>
      </w:r>
      <w:r>
        <w:rPr>
          <w:rFonts w:hint="eastAsia" w:ascii="Times New Roman" w:hAnsi="Times New Roman"/>
          <w:lang w:val="en-US" w:eastAsia="zh-CN"/>
        </w:rPr>
        <w:t>甘肃</w:t>
      </w:r>
      <w:r>
        <w:rPr>
          <w:rFonts w:hint="eastAsia" w:hAnsi="宋体"/>
          <w:spacing w:val="10"/>
          <w:lang w:eastAsia="zh-CN"/>
        </w:rPr>
        <w:t>京兰</w:t>
      </w:r>
      <w:r>
        <w:rPr>
          <w:rFonts w:hint="eastAsia" w:hAnsi="宋体"/>
          <w:spacing w:val="10"/>
        </w:rPr>
        <w:t xml:space="preserve">水泥有限公司 </w:t>
      </w:r>
    </w:p>
    <w:p w14:paraId="2E8579C9">
      <w:pPr>
        <w:numPr>
          <w:ilvl w:val="1"/>
          <w:numId w:val="5"/>
        </w:numPr>
        <w:rPr>
          <w:rFonts w:ascii="Times New Roman" w:hAnsi="Times New Roman"/>
        </w:rPr>
      </w:pPr>
      <w:r>
        <w:rPr>
          <w:rFonts w:hint="eastAsia" w:ascii="Times New Roman" w:hAnsi="Times New Roman"/>
        </w:rPr>
        <w:t xml:space="preserve">   技术</w:t>
      </w:r>
      <w:r>
        <w:rPr>
          <w:rFonts w:ascii="Times New Roman" w:hAnsi="Times New Roman"/>
        </w:rPr>
        <w:t>质量</w:t>
      </w:r>
      <w:r>
        <w:rPr>
          <w:rFonts w:hint="eastAsia" w:ascii="Times New Roman" w:hAnsi="Times New Roman"/>
        </w:rPr>
        <w:t>指</w:t>
      </w:r>
      <w:r>
        <w:rPr>
          <w:rFonts w:ascii="Times New Roman" w:hAnsi="Times New Roman"/>
        </w:rPr>
        <w:t>标：</w:t>
      </w:r>
      <w:r>
        <w:rPr>
          <w:rFonts w:hint="eastAsia" w:ascii="Times New Roman" w:hAnsi="Times New Roman"/>
        </w:rPr>
        <w:t xml:space="preserve"> 见技术指标表格</w:t>
      </w:r>
    </w:p>
    <w:p w14:paraId="71F41671">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hAnsi="宋体"/>
          <w:spacing w:val="10"/>
          <w:lang w:val="en-US" w:eastAsia="zh-CN"/>
        </w:rPr>
        <w:t>甘肃</w:t>
      </w:r>
      <w:r>
        <w:rPr>
          <w:rFonts w:hint="eastAsia" w:hAnsi="宋体"/>
          <w:spacing w:val="10"/>
          <w:lang w:eastAsia="zh-CN"/>
        </w:rPr>
        <w:t>京兰</w:t>
      </w:r>
      <w:r>
        <w:rPr>
          <w:rFonts w:hint="eastAsia" w:hAnsi="宋体"/>
          <w:spacing w:val="10"/>
        </w:rPr>
        <w:t>水泥有限公司</w:t>
      </w:r>
    </w:p>
    <w:p w14:paraId="32A207C4">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7BBE4444">
      <w:pPr>
        <w:numPr>
          <w:ilvl w:val="2"/>
          <w:numId w:val="5"/>
        </w:numPr>
      </w:pPr>
      <w:r>
        <w:rPr>
          <w:rFonts w:ascii="Times New Roman" w:hAnsi="Times New Roman"/>
        </w:rPr>
        <w:t>招标方式：</w:t>
      </w:r>
      <w:r>
        <w:rPr>
          <w:rFonts w:hint="eastAsia" w:ascii="Times New Roman" w:hAnsi="Times New Roman"/>
          <w:lang w:val="en-US" w:eastAsia="zh-CN"/>
        </w:rPr>
        <w:t>供应商报名资质审核+邀标的方式</w:t>
      </w:r>
    </w:p>
    <w:p w14:paraId="0B025744">
      <w:pPr>
        <w:numPr>
          <w:ilvl w:val="2"/>
          <w:numId w:val="5"/>
        </w:numPr>
      </w:pPr>
      <w:r>
        <w:rPr>
          <w:rFonts w:hint="eastAsia" w:ascii="Times New Roman" w:hAnsi="Times New Roman"/>
          <w:lang w:val="en-US" w:eastAsia="zh-CN"/>
        </w:rPr>
        <w:t>参与报名的供应商进行资格初审</w:t>
      </w:r>
    </w:p>
    <w:p w14:paraId="60C6910A">
      <w:pPr>
        <w:numPr>
          <w:ilvl w:val="2"/>
          <w:numId w:val="5"/>
        </w:numPr>
        <w:rPr>
          <w:rFonts w:hint="default"/>
          <w:lang w:val="en-US"/>
        </w:rPr>
      </w:pPr>
      <w:r>
        <w:rPr>
          <w:rFonts w:hint="eastAsia"/>
          <w:lang w:val="en-US" w:eastAsia="zh-CN"/>
        </w:rPr>
        <w:t>提交报名表、公司资质、同行业运输合同</w:t>
      </w:r>
    </w:p>
    <w:p w14:paraId="7AB14518">
      <w:pPr>
        <w:numPr>
          <w:ilvl w:val="2"/>
          <w:numId w:val="5"/>
        </w:numPr>
      </w:pPr>
      <w:r>
        <w:rPr>
          <w:rFonts w:hint="eastAsia" w:ascii="Times New Roman" w:hAnsi="Times New Roman"/>
          <w:lang w:val="en-US" w:eastAsia="zh-CN"/>
        </w:rPr>
        <w:t>对满足要求的供应商招标方会进行邀标</w:t>
      </w:r>
    </w:p>
    <w:p w14:paraId="27BA7269">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招标原则：遵循公开、公平、公正、科学、择优的原则，综合评定。</w:t>
      </w:r>
    </w:p>
    <w:p w14:paraId="7E562502">
      <w:pPr>
        <w:numPr>
          <w:ilvl w:val="0"/>
          <w:numId w:val="4"/>
        </w:numPr>
        <w:rPr>
          <w:rFonts w:hint="default"/>
          <w:lang w:val="en-US" w:eastAsia="zh-CN"/>
        </w:rPr>
      </w:pPr>
      <w:bookmarkStart w:id="2" w:name="_Toc216059991"/>
      <w:r>
        <w:rPr>
          <w:rStyle w:val="13"/>
          <w:b w:val="0"/>
        </w:rPr>
        <w:t>资格要求</w:t>
      </w:r>
      <w:bookmarkEnd w:id="2"/>
    </w:p>
    <w:p w14:paraId="3818C970">
      <w:pPr>
        <w:numPr>
          <w:ilvl w:val="1"/>
          <w:numId w:val="6"/>
        </w:numPr>
        <w:rPr>
          <w:rFonts w:ascii="Times New Roman" w:hAnsi="Times New Roman"/>
        </w:rPr>
      </w:pPr>
      <w:r>
        <w:rPr>
          <w:rFonts w:hint="eastAsia" w:ascii="Times New Roman" w:hAnsi="Times New Roman"/>
        </w:rPr>
        <w:t xml:space="preserve">   </w:t>
      </w:r>
      <w:r>
        <w:rPr>
          <w:rFonts w:ascii="Times New Roman" w:hAnsi="Times New Roman"/>
        </w:rPr>
        <w:t>投标人的资格要求</w:t>
      </w:r>
    </w:p>
    <w:p w14:paraId="03B995BC">
      <w:pPr>
        <w:numPr>
          <w:ilvl w:val="1"/>
          <w:numId w:val="6"/>
        </w:numPr>
        <w:rPr>
          <w:rFonts w:ascii="Times New Roman" w:hAnsi="Times New Roman"/>
          <w:highlight w:val="none"/>
        </w:rPr>
      </w:pPr>
      <w:r>
        <w:rPr>
          <w:rFonts w:hint="eastAsia" w:ascii="Times New Roman" w:hAnsi="Times New Roman"/>
        </w:rPr>
        <w:t xml:space="preserve">   </w:t>
      </w:r>
      <w:r>
        <w:rPr>
          <w:rFonts w:hint="eastAsia" w:ascii="Times New Roman" w:hAnsi="Times New Roman"/>
          <w:highlight w:val="none"/>
          <w:lang w:val="en-US" w:eastAsia="zh-CN"/>
        </w:rPr>
        <w:t>投标人应为在依法等级注册的、具有独立法人资格的企业，具有一般纳税人资格并</w:t>
      </w:r>
    </w:p>
    <w:p w14:paraId="2D2791A4">
      <w:pPr>
        <w:numPr>
          <w:ilvl w:val="0"/>
          <w:numId w:val="0"/>
        </w:numPr>
        <w:ind w:leftChars="0"/>
        <w:rPr>
          <w:rFonts w:hint="default" w:ascii="Times New Roman" w:hAnsi="Times New Roman"/>
          <w:highlight w:val="none"/>
          <w:lang w:val="en-US" w:eastAsia="zh-CN"/>
        </w:rPr>
      </w:pPr>
      <w:r>
        <w:rPr>
          <w:rFonts w:hint="eastAsia" w:ascii="Times New Roman" w:hAnsi="Times New Roman"/>
          <w:highlight w:val="none"/>
          <w:lang w:val="en-US" w:eastAsia="zh-CN"/>
        </w:rPr>
        <w:t xml:space="preserve">      能够开具9%运输增值税专用发票、具有道路运输许可证</w:t>
      </w:r>
    </w:p>
    <w:p w14:paraId="7AF8ED5D">
      <w:pPr>
        <w:numPr>
          <w:ilvl w:val="1"/>
          <w:numId w:val="6"/>
        </w:numPr>
        <w:rPr>
          <w:rFonts w:hint="default"/>
          <w:lang w:val="en-US"/>
        </w:rPr>
      </w:pPr>
      <w:r>
        <w:rPr>
          <w:rFonts w:hint="eastAsia"/>
          <w:lang w:val="en-US" w:eastAsia="zh-CN"/>
        </w:rPr>
        <w:t xml:space="preserve">   投标人具备矿石、渣土等行业运输业绩</w:t>
      </w:r>
    </w:p>
    <w:p w14:paraId="604B8F22">
      <w:pPr>
        <w:numPr>
          <w:ilvl w:val="1"/>
          <w:numId w:val="6"/>
        </w:numPr>
        <w:rPr>
          <w:rFonts w:hint="default"/>
          <w:lang w:val="en-US"/>
        </w:rPr>
      </w:pPr>
      <w:r>
        <w:rPr>
          <w:rFonts w:hint="eastAsia"/>
          <w:lang w:val="en-US" w:eastAsia="zh-CN"/>
        </w:rPr>
        <w:t xml:space="preserve">   投标人应拥有良好的车辆资源优势及资金实力，无不良信用记录</w:t>
      </w:r>
    </w:p>
    <w:p w14:paraId="1ED70FCB">
      <w:pPr>
        <w:numPr>
          <w:ilvl w:val="1"/>
          <w:numId w:val="6"/>
        </w:numPr>
        <w:rPr>
          <w:rFonts w:hint="default"/>
          <w:lang w:val="en-US"/>
        </w:rPr>
      </w:pPr>
      <w:r>
        <w:rPr>
          <w:rFonts w:hint="eastAsia"/>
          <w:lang w:val="en-US" w:eastAsia="zh-CN"/>
        </w:rPr>
        <w:t xml:space="preserve">   投标人或法人未被列入失信被执行人名单或被限制高消费（以天眼查查询为准）</w:t>
      </w:r>
    </w:p>
    <w:p w14:paraId="4B19174A">
      <w:pPr>
        <w:pStyle w:val="2"/>
        <w:rPr>
          <w:rFonts w:hint="default"/>
          <w:lang w:val="en-US"/>
        </w:rPr>
      </w:pPr>
    </w:p>
    <w:p w14:paraId="62946899">
      <w:pPr>
        <w:rPr>
          <w:rFonts w:ascii="Times New Roman" w:hAnsi="Times New Roman"/>
        </w:rPr>
      </w:pPr>
      <w:r>
        <w:rPr>
          <w:rFonts w:hint="eastAsia" w:ascii="Times New Roman" w:hAnsi="Times New Roman"/>
        </w:rPr>
        <w:t xml:space="preserve"> </w:t>
      </w:r>
    </w:p>
    <w:p w14:paraId="49B24EDA">
      <w:pPr>
        <w:numPr>
          <w:ilvl w:val="0"/>
          <w:numId w:val="6"/>
        </w:numPr>
        <w:rPr>
          <w:rStyle w:val="13"/>
          <w:b w:val="0"/>
        </w:rPr>
      </w:pPr>
      <w:r>
        <w:rPr>
          <w:rStyle w:val="13"/>
          <w:b w:val="0"/>
        </w:rPr>
        <w:t>招标文件</w:t>
      </w:r>
    </w:p>
    <w:p w14:paraId="51200021">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0397BDFD">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552839BF">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17FC27D2">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525B8550">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0265720C">
      <w:pPr>
        <w:numPr>
          <w:ilvl w:val="1"/>
          <w:numId w:val="7"/>
        </w:numPr>
        <w:rPr>
          <w:rFonts w:ascii="Times New Roman" w:hAnsi="Times New Roman"/>
        </w:rPr>
      </w:pPr>
      <w:r>
        <w:rPr>
          <w:rFonts w:ascii="Times New Roman" w:hAnsi="Times New Roman"/>
        </w:rPr>
        <w:t>招标文件的解释与澄清</w:t>
      </w:r>
    </w:p>
    <w:p w14:paraId="61631DB3">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3DC00284">
      <w:pPr>
        <w:ind w:left="420"/>
        <w:rPr>
          <w:rFonts w:ascii="Times New Roman" w:hAnsi="Times New Roman"/>
        </w:rPr>
      </w:pPr>
    </w:p>
    <w:p w14:paraId="1025B95B">
      <w:pPr>
        <w:numPr>
          <w:ilvl w:val="0"/>
          <w:numId w:val="7"/>
        </w:numPr>
        <w:rPr>
          <w:rStyle w:val="13"/>
          <w:b w:val="0"/>
        </w:rPr>
      </w:pPr>
      <w:bookmarkStart w:id="6" w:name="_Toc216059996"/>
      <w:r>
        <w:rPr>
          <w:rStyle w:val="13"/>
          <w:b w:val="0"/>
        </w:rPr>
        <w:t>投标费用</w:t>
      </w:r>
      <w:bookmarkEnd w:id="6"/>
    </w:p>
    <w:p w14:paraId="5FB6A7BC">
      <w:pPr>
        <w:ind w:firstLine="420"/>
        <w:rPr>
          <w:rFonts w:ascii="Times New Roman" w:hAnsi="Times New Roman"/>
        </w:rPr>
      </w:pPr>
      <w:r>
        <w:rPr>
          <w:rFonts w:ascii="Times New Roman" w:hAnsi="Times New Roman"/>
        </w:rPr>
        <w:t>投标人应承担其标书的准备与递交等所涉及的在投标过程中所发生的一切费用，不论投标结果如何，招标人对投标费用不负任何责任。</w:t>
      </w:r>
    </w:p>
    <w:p w14:paraId="1C2237C1">
      <w:pPr>
        <w:pStyle w:val="2"/>
      </w:pPr>
    </w:p>
    <w:p w14:paraId="39E147D1">
      <w:pPr>
        <w:numPr>
          <w:ilvl w:val="0"/>
          <w:numId w:val="8"/>
        </w:numPr>
        <w:rPr>
          <w:rStyle w:val="13"/>
          <w:b w:val="0"/>
        </w:rPr>
      </w:pPr>
      <w:bookmarkStart w:id="7" w:name="_Toc216059998"/>
      <w:r>
        <w:rPr>
          <w:rStyle w:val="13"/>
          <w:b w:val="0"/>
        </w:rPr>
        <w:t>投标文件</w:t>
      </w:r>
      <w:bookmarkEnd w:id="7"/>
    </w:p>
    <w:p w14:paraId="5063635F">
      <w:pPr>
        <w:numPr>
          <w:ilvl w:val="2"/>
          <w:numId w:val="5"/>
        </w:numPr>
      </w:pPr>
      <w:r>
        <w:t>投标文件材料的组成</w:t>
      </w:r>
    </w:p>
    <w:p w14:paraId="25F6077B">
      <w:pPr>
        <w:numPr>
          <w:ilvl w:val="2"/>
          <w:numId w:val="5"/>
        </w:numPr>
      </w:pPr>
      <w:r>
        <w:t>投标文件材料由以下</w:t>
      </w:r>
      <w:r>
        <w:rPr>
          <w:rFonts w:hint="eastAsia"/>
          <w:lang w:val="en-US" w:eastAsia="zh-CN"/>
        </w:rPr>
        <w:t>二</w:t>
      </w:r>
      <w:r>
        <w:t>部分组成</w:t>
      </w:r>
    </w:p>
    <w:p w14:paraId="67578E6E">
      <w:pPr>
        <w:numPr>
          <w:ilvl w:val="2"/>
          <w:numId w:val="5"/>
        </w:numPr>
        <w:rPr>
          <w:rFonts w:ascii="Times New Roman" w:hAnsi="Times New Roman"/>
        </w:rPr>
      </w:pPr>
      <w:r>
        <w:rPr>
          <w:rFonts w:hint="eastAsia" w:ascii="Times New Roman" w:hAnsi="Times New Roman"/>
        </w:rPr>
        <w:t>1、</w:t>
      </w:r>
      <w:r>
        <w:rPr>
          <w:rFonts w:ascii="Times New Roman" w:hAnsi="Times New Roman"/>
        </w:rPr>
        <w:t>技术文件材料；</w:t>
      </w:r>
    </w:p>
    <w:p w14:paraId="0F932491">
      <w:pPr>
        <w:numPr>
          <w:ilvl w:val="2"/>
          <w:numId w:val="5"/>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5BAF341D">
      <w:pPr>
        <w:numPr>
          <w:ilvl w:val="2"/>
          <w:numId w:val="5"/>
        </w:numPr>
      </w:pPr>
      <w:r>
        <w:t>技术文件材料的构成</w:t>
      </w:r>
    </w:p>
    <w:p w14:paraId="50895BB1">
      <w:pPr>
        <w:numPr>
          <w:ilvl w:val="2"/>
          <w:numId w:val="5"/>
        </w:numPr>
      </w:pPr>
      <w:r>
        <w:rPr>
          <w:rFonts w:hint="eastAsia"/>
          <w:lang w:val="en-US" w:eastAsia="zh-CN"/>
        </w:rPr>
        <w:t>报名提供资料及</w:t>
      </w:r>
      <w:r>
        <w:rPr>
          <w:rFonts w:hint="eastAsia"/>
        </w:rPr>
        <w:t>技术指标变化范围。</w:t>
      </w:r>
    </w:p>
    <w:p w14:paraId="1CF26248">
      <w:pPr>
        <w:numPr>
          <w:ilvl w:val="2"/>
          <w:numId w:val="5"/>
        </w:numPr>
      </w:pPr>
      <w:r>
        <w:t>投标人关于</w:t>
      </w:r>
      <w:r>
        <w:rPr>
          <w:rFonts w:hint="eastAsia"/>
        </w:rPr>
        <w:t>本项目资源情况说明函。</w:t>
      </w:r>
    </w:p>
    <w:p w14:paraId="2069A343">
      <w:pPr>
        <w:numPr>
          <w:ilvl w:val="2"/>
          <w:numId w:val="5"/>
        </w:numPr>
      </w:pPr>
      <w:r>
        <w:t>本项目管理机构</w:t>
      </w:r>
      <w:r>
        <w:rPr>
          <w:rFonts w:hint="eastAsia"/>
        </w:rPr>
        <w:t>及</w:t>
      </w:r>
      <w:r>
        <w:t>主要</w:t>
      </w:r>
      <w:r>
        <w:rPr>
          <w:rFonts w:hint="eastAsia"/>
        </w:rPr>
        <w:t>负责</w:t>
      </w:r>
      <w:r>
        <w:t>人员</w:t>
      </w:r>
      <w:r>
        <w:rPr>
          <w:rFonts w:hint="eastAsia"/>
        </w:rPr>
        <w:t>。</w:t>
      </w:r>
    </w:p>
    <w:p w14:paraId="6962DDAC">
      <w:pPr>
        <w:numPr>
          <w:ilvl w:val="2"/>
          <w:numId w:val="5"/>
        </w:numPr>
      </w:pPr>
      <w:r>
        <w:rPr>
          <w:rFonts w:hint="eastAsia"/>
        </w:rPr>
        <w:t>特定环境下的保障措施。</w:t>
      </w:r>
    </w:p>
    <w:p w14:paraId="539C2EA4">
      <w:pPr>
        <w:numPr>
          <w:ilvl w:val="2"/>
          <w:numId w:val="5"/>
        </w:numPr>
      </w:pPr>
      <w:r>
        <w:t>商务文件材料（一）</w:t>
      </w:r>
      <w:r>
        <w:rPr>
          <w:rFonts w:hint="eastAsia"/>
        </w:rPr>
        <w:t xml:space="preserve"> </w:t>
      </w:r>
    </w:p>
    <w:p w14:paraId="75BB403A">
      <w:pPr>
        <w:numPr>
          <w:ilvl w:val="2"/>
          <w:numId w:val="5"/>
        </w:numPr>
        <w:rPr>
          <w:rFonts w:ascii="Times New Roman" w:hAnsi="Times New Roman"/>
        </w:rPr>
      </w:pPr>
      <w:r>
        <w:rPr>
          <w:rFonts w:ascii="Times New Roman" w:hAnsi="Times New Roman"/>
        </w:rPr>
        <w:t>投标报价表</w:t>
      </w:r>
      <w:r>
        <w:rPr>
          <w:rFonts w:hint="eastAsia" w:ascii="Times New Roman" w:hAnsi="Times New Roman"/>
        </w:rPr>
        <w:t>。</w:t>
      </w:r>
    </w:p>
    <w:p w14:paraId="46E90C8B">
      <w:pPr>
        <w:numPr>
          <w:ilvl w:val="2"/>
          <w:numId w:val="5"/>
        </w:numPr>
      </w:pPr>
      <w:r>
        <w:t>投标人的承诺函</w:t>
      </w:r>
      <w:r>
        <w:rPr>
          <w:rFonts w:hint="eastAsia"/>
        </w:rPr>
        <w:t>：提供以下内容承诺：接受招标方结算方式。</w:t>
      </w:r>
    </w:p>
    <w:p w14:paraId="682E140E">
      <w:pPr>
        <w:numPr>
          <w:ilvl w:val="2"/>
          <w:numId w:val="5"/>
        </w:numPr>
      </w:pPr>
      <w:r>
        <w:t>投标人的资格证明文件材料：投标人的有效营业执照、</w:t>
      </w:r>
      <w:r>
        <w:rPr>
          <w:rFonts w:hint="eastAsia"/>
          <w:lang w:val="en-US" w:eastAsia="zh-CN"/>
        </w:rPr>
        <w:t>道路运输许可证、</w:t>
      </w:r>
      <w:r>
        <w:rPr>
          <w:rFonts w:hint="eastAsia"/>
        </w:rPr>
        <w:t>税务登记证、组织机构代码证、开户行许可证、法人代表身份证复印件。</w:t>
      </w:r>
    </w:p>
    <w:p w14:paraId="250C1A8E">
      <w:pPr>
        <w:numPr>
          <w:ilvl w:val="2"/>
          <w:numId w:val="5"/>
        </w:numPr>
      </w:pPr>
      <w:r>
        <w:t>投标文件格式</w:t>
      </w:r>
    </w:p>
    <w:p w14:paraId="3900C0E7">
      <w:pPr>
        <w:numPr>
          <w:ilvl w:val="2"/>
          <w:numId w:val="5"/>
        </w:numPr>
      </w:pPr>
      <w:r>
        <w:t>投标人必须严格按招标文件提供的投标文件格式编制投标文件材料，但表格可以按同样格式进行扩展。</w:t>
      </w:r>
    </w:p>
    <w:p w14:paraId="6CE5C966">
      <w:pPr>
        <w:rPr>
          <w:rFonts w:ascii="Times New Roman" w:hAnsi="Times New Roman"/>
        </w:rPr>
      </w:pPr>
    </w:p>
    <w:p w14:paraId="5F974415">
      <w:pPr>
        <w:numPr>
          <w:ilvl w:val="0"/>
          <w:numId w:val="8"/>
        </w:numPr>
        <w:rPr>
          <w:rStyle w:val="13"/>
          <w:b w:val="0"/>
        </w:rPr>
      </w:pPr>
      <w:bookmarkStart w:id="8" w:name="_Toc216060000"/>
      <w:r>
        <w:rPr>
          <w:rStyle w:val="13"/>
          <w:b w:val="0"/>
        </w:rPr>
        <w:t>投标报</w:t>
      </w:r>
      <w:bookmarkEnd w:id="8"/>
      <w:r>
        <w:rPr>
          <w:rStyle w:val="13"/>
          <w:rFonts w:hint="eastAsia"/>
          <w:b w:val="0"/>
        </w:rPr>
        <w:t>价</w:t>
      </w:r>
    </w:p>
    <w:p w14:paraId="06CA8BBC">
      <w:pPr>
        <w:numPr>
          <w:ilvl w:val="1"/>
          <w:numId w:val="8"/>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5CAAD236">
      <w:pPr>
        <w:rPr>
          <w:rFonts w:ascii="Times New Roman" w:hAnsi="Times New Roman"/>
        </w:rPr>
      </w:pPr>
    </w:p>
    <w:p w14:paraId="02FFBB8B">
      <w:pPr>
        <w:numPr>
          <w:ilvl w:val="0"/>
          <w:numId w:val="8"/>
        </w:numPr>
        <w:rPr>
          <w:rStyle w:val="13"/>
          <w:b w:val="0"/>
        </w:rPr>
      </w:pPr>
      <w:r>
        <w:rPr>
          <w:rStyle w:val="13"/>
          <w:b w:val="0"/>
        </w:rPr>
        <w:t xml:space="preserve"> 投标报价说明</w:t>
      </w:r>
    </w:p>
    <w:p w14:paraId="12ADAA56">
      <w:pPr>
        <w:numPr>
          <w:ilvl w:val="1"/>
          <w:numId w:val="8"/>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lang w:val="en-US" w:eastAsia="zh-CN"/>
        </w:rPr>
        <w:t>运费</w:t>
      </w:r>
      <w:r>
        <w:rPr>
          <w:rFonts w:ascii="Times New Roman" w:hAnsi="Times New Roman"/>
        </w:rPr>
        <w:t>报价</w:t>
      </w:r>
      <w:r>
        <w:rPr>
          <w:rFonts w:hint="eastAsia" w:ascii="Times New Roman" w:hAnsi="Times New Roman"/>
        </w:rPr>
        <w:t>含税综合价，表明税率。</w:t>
      </w:r>
    </w:p>
    <w:p w14:paraId="28EFD262">
      <w:pPr>
        <w:numPr>
          <w:ilvl w:val="1"/>
          <w:numId w:val="8"/>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2037224F">
      <w:pPr>
        <w:numPr>
          <w:ilvl w:val="1"/>
          <w:numId w:val="8"/>
        </w:numPr>
        <w:rPr>
          <w:rFonts w:ascii="Times New Roman" w:hAnsi="Times New Roman"/>
        </w:rPr>
      </w:pPr>
      <w:r>
        <w:rPr>
          <w:rFonts w:ascii="Times New Roman" w:hAnsi="Times New Roman"/>
        </w:rPr>
        <w:t>投标人只允许有一个报价，任何有选择的报价将不被接受。</w:t>
      </w:r>
    </w:p>
    <w:p w14:paraId="6A866B2A">
      <w:pPr>
        <w:numPr>
          <w:ilvl w:val="1"/>
          <w:numId w:val="8"/>
        </w:numPr>
        <w:rPr>
          <w:rFonts w:ascii="Times New Roman" w:hAnsi="Times New Roman"/>
        </w:rPr>
      </w:pPr>
      <w:r>
        <w:rPr>
          <w:rFonts w:ascii="Times New Roman" w:hAnsi="Times New Roman"/>
        </w:rPr>
        <w:t>投标人在编制投标报价时，应当充分考虑各种风险因素的影响。</w:t>
      </w:r>
    </w:p>
    <w:p w14:paraId="484E08E2">
      <w:pPr>
        <w:rPr>
          <w:rFonts w:ascii="Times New Roman" w:hAnsi="Times New Roman"/>
        </w:rPr>
      </w:pPr>
    </w:p>
    <w:p w14:paraId="0F85248F">
      <w:pPr>
        <w:numPr>
          <w:ilvl w:val="0"/>
          <w:numId w:val="8"/>
        </w:numPr>
        <w:rPr>
          <w:rStyle w:val="13"/>
          <w:b w:val="0"/>
        </w:rPr>
      </w:pPr>
      <w:bookmarkStart w:id="9" w:name="_Toc216059999"/>
      <w:r>
        <w:rPr>
          <w:rStyle w:val="13"/>
          <w:rFonts w:hint="eastAsia"/>
          <w:b w:val="0"/>
          <w:lang w:val="en-US" w:eastAsia="zh-CN"/>
        </w:rPr>
        <w:t xml:space="preserve"> </w:t>
      </w:r>
      <w:r>
        <w:rPr>
          <w:rStyle w:val="13"/>
          <w:b w:val="0"/>
        </w:rPr>
        <w:t>投标有效期</w:t>
      </w:r>
      <w:bookmarkEnd w:id="9"/>
    </w:p>
    <w:p w14:paraId="165C1DD2">
      <w:pPr>
        <w:numPr>
          <w:ilvl w:val="1"/>
          <w:numId w:val="8"/>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2047CB89">
      <w:pPr>
        <w:rPr>
          <w:rFonts w:ascii="Times New Roman" w:hAnsi="Times New Roman"/>
        </w:rPr>
      </w:pPr>
    </w:p>
    <w:p w14:paraId="6C3AE1CB">
      <w:pPr>
        <w:numPr>
          <w:ilvl w:val="0"/>
          <w:numId w:val="8"/>
        </w:numPr>
        <w:rPr>
          <w:rStyle w:val="13"/>
          <w:b w:val="0"/>
        </w:rPr>
      </w:pPr>
      <w:bookmarkStart w:id="10" w:name="_Toc216060003"/>
      <w:r>
        <w:rPr>
          <w:rStyle w:val="13"/>
          <w:b w:val="0"/>
        </w:rPr>
        <w:t>投标文件材料</w:t>
      </w:r>
      <w:bookmarkEnd w:id="10"/>
      <w:r>
        <w:rPr>
          <w:rStyle w:val="13"/>
          <w:b w:val="0"/>
        </w:rPr>
        <w:t xml:space="preserve"> </w:t>
      </w:r>
    </w:p>
    <w:p w14:paraId="28EA7957">
      <w:pPr>
        <w:numPr>
          <w:ilvl w:val="1"/>
          <w:numId w:val="8"/>
        </w:numPr>
      </w:pPr>
      <w:r>
        <w:t>投标人准备投标文件材料正本1套，</w:t>
      </w:r>
      <w:r>
        <w:rPr>
          <w:rFonts w:hint="eastAsia"/>
        </w:rPr>
        <w:t xml:space="preserve"> 副本3套</w:t>
      </w:r>
    </w:p>
    <w:p w14:paraId="29B65692">
      <w:pPr>
        <w:rPr>
          <w:rStyle w:val="13"/>
          <w:b w:val="0"/>
        </w:rPr>
      </w:pPr>
    </w:p>
    <w:p w14:paraId="349BD3E5">
      <w:pPr>
        <w:numPr>
          <w:ilvl w:val="0"/>
          <w:numId w:val="8"/>
        </w:numPr>
        <w:rPr>
          <w:rStyle w:val="13"/>
          <w:b w:val="0"/>
        </w:rPr>
      </w:pPr>
      <w:bookmarkStart w:id="11" w:name="_Toc216060004"/>
      <w:r>
        <w:rPr>
          <w:rStyle w:val="13"/>
          <w:b w:val="0"/>
        </w:rPr>
        <w:t>投标文件材料的密封与标记</w:t>
      </w:r>
      <w:bookmarkEnd w:id="11"/>
    </w:p>
    <w:p w14:paraId="2265CD0E">
      <w:pPr>
        <w:numPr>
          <w:ilvl w:val="1"/>
          <w:numId w:val="8"/>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56AE93EA">
      <w:pPr>
        <w:numPr>
          <w:ilvl w:val="1"/>
          <w:numId w:val="8"/>
        </w:numPr>
        <w:rPr>
          <w:rFonts w:ascii="Times New Roman" w:hAnsi="Times New Roman"/>
          <w:color w:val="000000"/>
        </w:rPr>
      </w:pPr>
      <w:r>
        <w:rPr>
          <w:rFonts w:ascii="Times New Roman" w:hAnsi="Times New Roman"/>
        </w:rPr>
        <w:t>所有包封外表面都应具有下列识别标志：</w:t>
      </w:r>
    </w:p>
    <w:p w14:paraId="719515CA">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18F54314">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40F81C7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4B129ED3">
      <w:pPr>
        <w:rPr>
          <w:rFonts w:ascii="Times New Roman" w:hAnsi="Times New Roman"/>
        </w:rPr>
      </w:pPr>
      <w:r>
        <w:rPr>
          <w:rFonts w:ascii="Times New Roman" w:hAnsi="Times New Roman"/>
        </w:rPr>
        <w:t>包封外表面应注明投标人的名称与地址，并加盖公章。</w:t>
      </w:r>
    </w:p>
    <w:p w14:paraId="0BF09741">
      <w:pPr>
        <w:numPr>
          <w:ilvl w:val="1"/>
          <w:numId w:val="8"/>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036AF0E1">
      <w:pPr>
        <w:numPr>
          <w:ilvl w:val="1"/>
          <w:numId w:val="8"/>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1C185FFF">
      <w:pPr>
        <w:numPr>
          <w:ilvl w:val="1"/>
          <w:numId w:val="8"/>
        </w:numPr>
        <w:rPr>
          <w:rFonts w:ascii="Times New Roman" w:hAnsi="Times New Roman"/>
        </w:rPr>
      </w:pPr>
      <w:r>
        <w:rPr>
          <w:rFonts w:ascii="Times New Roman" w:hAnsi="Times New Roman"/>
        </w:rPr>
        <w:t>在开标前任何单位和个人不得开启投标文件材料。</w:t>
      </w:r>
    </w:p>
    <w:p w14:paraId="6C79EFA4">
      <w:pPr>
        <w:rPr>
          <w:rFonts w:ascii="Times New Roman" w:hAnsi="Times New Roman"/>
        </w:rPr>
      </w:pPr>
    </w:p>
    <w:p w14:paraId="3BDD6018">
      <w:pPr>
        <w:numPr>
          <w:ilvl w:val="0"/>
          <w:numId w:val="8"/>
        </w:numPr>
        <w:rPr>
          <w:rStyle w:val="13"/>
          <w:b w:val="0"/>
        </w:rPr>
      </w:pPr>
      <w:r>
        <w:rPr>
          <w:rStyle w:val="13"/>
          <w:b w:val="0"/>
        </w:rPr>
        <w:t>投标文件递交截止时间</w:t>
      </w:r>
    </w:p>
    <w:p w14:paraId="4C03067A">
      <w:pPr>
        <w:numPr>
          <w:ilvl w:val="1"/>
          <w:numId w:val="8"/>
        </w:numPr>
        <w:rPr>
          <w:rFonts w:ascii="Times New Roman" w:hAnsi="Times New Roman"/>
        </w:rPr>
      </w:pPr>
      <w:r>
        <w:rPr>
          <w:rFonts w:ascii="Times New Roman" w:hAnsi="Times New Roman"/>
        </w:rPr>
        <w:t>投标文件递交截止时间：执行投标人须知前附表规定。</w:t>
      </w:r>
    </w:p>
    <w:p w14:paraId="12216890">
      <w:pPr>
        <w:rPr>
          <w:rFonts w:ascii="Times New Roman" w:hAnsi="Times New Roman"/>
        </w:rPr>
      </w:pPr>
    </w:p>
    <w:p w14:paraId="3D35A421">
      <w:pPr>
        <w:numPr>
          <w:ilvl w:val="0"/>
          <w:numId w:val="8"/>
        </w:numPr>
        <w:rPr>
          <w:rStyle w:val="13"/>
          <w:b w:val="0"/>
        </w:rPr>
      </w:pPr>
      <w:bookmarkStart w:id="12" w:name="_Toc216060007"/>
      <w:r>
        <w:rPr>
          <w:rStyle w:val="13"/>
          <w:b w:val="0"/>
        </w:rPr>
        <w:t>开标</w:t>
      </w:r>
      <w:bookmarkEnd w:id="12"/>
    </w:p>
    <w:p w14:paraId="5BFDAAA1">
      <w:pPr>
        <w:numPr>
          <w:ilvl w:val="1"/>
          <w:numId w:val="8"/>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0147F5F3">
      <w:pPr>
        <w:numPr>
          <w:ilvl w:val="1"/>
          <w:numId w:val="8"/>
        </w:numPr>
        <w:rPr>
          <w:rFonts w:ascii="Times New Roman" w:hAnsi="Times New Roman"/>
        </w:rPr>
      </w:pPr>
      <w:r>
        <w:rPr>
          <w:rFonts w:hint="eastAsia" w:hAnsi="宋体"/>
        </w:rPr>
        <w:t>第一次报价随标书递交招标方，招标方在开标时进行第二次报价。</w:t>
      </w:r>
    </w:p>
    <w:p w14:paraId="73B86C65">
      <w:pPr>
        <w:numPr>
          <w:ilvl w:val="1"/>
          <w:numId w:val="8"/>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07753B75">
      <w:pPr>
        <w:rPr>
          <w:rFonts w:ascii="Times New Roman" w:hAnsi="Times New Roman"/>
        </w:rPr>
      </w:pPr>
    </w:p>
    <w:p w14:paraId="6AF97AC3">
      <w:pPr>
        <w:numPr>
          <w:ilvl w:val="0"/>
          <w:numId w:val="8"/>
        </w:numPr>
        <w:rPr>
          <w:rStyle w:val="13"/>
          <w:b w:val="0"/>
        </w:rPr>
      </w:pPr>
      <w:bookmarkStart w:id="13" w:name="_Toc216060010"/>
      <w:r>
        <w:rPr>
          <w:rStyle w:val="13"/>
          <w:b w:val="0"/>
        </w:rPr>
        <w:t>评标</w:t>
      </w:r>
      <w:bookmarkEnd w:id="13"/>
    </w:p>
    <w:p w14:paraId="799CE8C5">
      <w:pPr>
        <w:numPr>
          <w:ilvl w:val="1"/>
          <w:numId w:val="8"/>
        </w:numPr>
      </w:pPr>
      <w:r>
        <w:t>招标人依法成立评标委员会。在评标委员会监督管理下对所有有效的投标文件材料，本着公开、公平、公正、科学、择优的原则，综合评定。</w:t>
      </w:r>
    </w:p>
    <w:p w14:paraId="1054BBAC">
      <w:pPr>
        <w:numPr>
          <w:ilvl w:val="1"/>
          <w:numId w:val="8"/>
        </w:numPr>
        <w:rPr>
          <w:color w:val="FF0000"/>
        </w:rPr>
      </w:pPr>
      <w:r>
        <w:rPr>
          <w:rFonts w:hint="eastAsia"/>
          <w:color w:val="FF0000"/>
          <w:lang w:eastAsia="zh-CN"/>
        </w:rPr>
        <w:t>同等条件下采取低价中标原则，现场中标单位分配比例为</w:t>
      </w:r>
      <w:r>
        <w:rPr>
          <w:rFonts w:hint="eastAsia"/>
          <w:color w:val="FF0000"/>
          <w:lang w:val="en-US" w:eastAsia="zh-CN"/>
        </w:rPr>
        <w:t>80%，后续按招标价跟进单位分配比例为20%</w:t>
      </w:r>
    </w:p>
    <w:p w14:paraId="74979E36">
      <w:pPr>
        <w:pStyle w:val="15"/>
        <w:ind w:left="0" w:leftChars="0" w:firstLine="0" w:firstLineChars="0"/>
        <w:jc w:val="both"/>
        <w:rPr>
          <w:b w:val="0"/>
        </w:rPr>
      </w:pPr>
      <w:r>
        <w:rPr>
          <w:szCs w:val="32"/>
        </w:rPr>
        <w:br w:type="page"/>
      </w: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pPr>
      <w:r>
        <w:rPr>
          <w:rFonts w:hint="eastAsia"/>
          <w:u w:val="single"/>
        </w:rPr>
        <w:t>单位名称</w:t>
      </w:r>
      <w:r>
        <w:t>:</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0731EB95">
      <w:pPr>
        <w:spacing w:line="340" w:lineRule="exact"/>
        <w:ind w:right="17"/>
        <w:rPr>
          <w:rFonts w:cs="TimesNewRomanPSMT"/>
        </w:rPr>
      </w:pPr>
      <w:r>
        <w:rPr>
          <w:rFonts w:ascii="TimesNewRomanPSMT" w:hAnsi="TimesNewRomanPSMT" w:eastAsia="仿宋_GB2312" w:cs="TimesNewRomanPSMT"/>
          <w:sz w:val="18"/>
          <w:szCs w:val="18"/>
        </w:rPr>
        <w:br w:type="page"/>
      </w:r>
    </w:p>
    <w:p w14:paraId="6FD42223">
      <w:pPr>
        <w:spacing w:line="340" w:lineRule="exact"/>
        <w:ind w:right="17"/>
        <w:rPr>
          <w:rFonts w:cs="TimesNewRomanPSMT"/>
        </w:rPr>
      </w:pPr>
    </w:p>
    <w:p w14:paraId="59AFA11B">
      <w:pPr>
        <w:spacing w:line="340" w:lineRule="exact"/>
        <w:ind w:right="17"/>
        <w:jc w:val="center"/>
        <w:rPr>
          <w:rFonts w:ascii="黑体" w:eastAsia="黑体"/>
          <w:bCs/>
          <w:sz w:val="28"/>
          <w:szCs w:val="28"/>
        </w:rPr>
      </w:pPr>
      <w:r>
        <w:rPr>
          <w:rFonts w:hint="eastAsia" w:ascii="黑体" w:eastAsia="黑体"/>
          <w:bCs/>
          <w:sz w:val="28"/>
          <w:szCs w:val="28"/>
        </w:rPr>
        <w:t>投  标  书</w:t>
      </w:r>
    </w:p>
    <w:p w14:paraId="649D2780">
      <w:pPr>
        <w:spacing w:line="460" w:lineRule="exact"/>
        <w:ind w:right="15"/>
        <w:jc w:val="left"/>
      </w:pPr>
      <w:r>
        <w:rPr>
          <w:rFonts w:hint="eastAsia"/>
          <w:lang w:val="en-US" w:eastAsia="zh-CN"/>
        </w:rPr>
        <w:t>甘肃</w:t>
      </w:r>
      <w:r>
        <w:rPr>
          <w:rFonts w:hint="eastAsia"/>
          <w:lang w:eastAsia="zh-CN"/>
        </w:rPr>
        <w:t>京兰</w:t>
      </w:r>
      <w:r>
        <w:rPr>
          <w:rFonts w:hint="eastAsia"/>
        </w:rPr>
        <w:t>水泥有限公司：</w:t>
      </w:r>
    </w:p>
    <w:p w14:paraId="334102E1">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lang w:val="en-US" w:eastAsia="zh-CN"/>
        </w:rPr>
        <w:t>运输</w:t>
      </w:r>
      <w:r>
        <w:rPr>
          <w:rFonts w:hint="eastAsia"/>
        </w:rPr>
        <w:t>招标文件，遵照《中华人民共和国招标投标法》等有关规定，经研究，我方自愿参加投标。</w:t>
      </w:r>
    </w:p>
    <w:p w14:paraId="008435FF">
      <w:pPr>
        <w:spacing w:line="460" w:lineRule="exact"/>
        <w:ind w:firstLine="420"/>
        <w:rPr>
          <w:u w:val="single"/>
        </w:rPr>
      </w:pPr>
      <w:r>
        <w:rPr>
          <w:rFonts w:hint="eastAsia"/>
        </w:rPr>
        <w:t>2.  投标报价详见报价清单。</w:t>
      </w:r>
    </w:p>
    <w:p w14:paraId="50E7844C">
      <w:pPr>
        <w:spacing w:line="460" w:lineRule="exact"/>
        <w:ind w:right="17" w:firstLine="420"/>
      </w:pPr>
      <w:r>
        <w:rPr>
          <w:rFonts w:hint="eastAsia"/>
        </w:rPr>
        <w:t>3  一旦我方中标，我方保证按照承诺条件积极合作。</w:t>
      </w:r>
    </w:p>
    <w:p w14:paraId="566583FC">
      <w:pPr>
        <w:spacing w:line="460" w:lineRule="exact"/>
        <w:ind w:right="17" w:firstLine="420"/>
      </w:pPr>
      <w:r>
        <w:rPr>
          <w:rFonts w:hint="eastAsia"/>
        </w:rPr>
        <w:t>4  我方同意所提交的投标文件在“投标须知”规定的投标有效期内有效，在此期间如果我方中标，我方将受此约束。</w:t>
      </w:r>
    </w:p>
    <w:p w14:paraId="27872A3D">
      <w:pPr>
        <w:spacing w:line="460" w:lineRule="exact"/>
        <w:ind w:right="17" w:firstLine="420"/>
      </w:pPr>
      <w:r>
        <w:rPr>
          <w:rFonts w:hint="eastAsia"/>
        </w:rPr>
        <w:t>5  除非另外达成协议并生效，你方的招标文件、中标通知书和本投标文件将成为约束我们双方的合同文件的组成部分。</w:t>
      </w:r>
    </w:p>
    <w:p w14:paraId="29D74566">
      <w:pPr>
        <w:spacing w:line="360" w:lineRule="auto"/>
        <w:ind w:firstLine="315" w:firstLineChars="150"/>
        <w:rPr>
          <w:rFonts w:hAnsi="宋体"/>
        </w:rPr>
      </w:pPr>
      <w:r>
        <w:rPr>
          <w:rFonts w:hint="eastAsia"/>
        </w:rPr>
        <w:t xml:space="preserve">6   </w:t>
      </w:r>
      <w:r>
        <w:rPr>
          <w:rFonts w:hAnsi="宋体"/>
        </w:rPr>
        <w:t>据此函，签字代表宣布同意如下：</w:t>
      </w:r>
    </w:p>
    <w:p w14:paraId="269A35BE">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w:t>
      </w:r>
      <w:r>
        <w:rPr>
          <w:rFonts w:hint="eastAsia" w:hAnsi="宋体"/>
          <w:lang w:val="en-US" w:eastAsia="zh-CN"/>
        </w:rPr>
        <w:t>运输服务</w:t>
      </w:r>
      <w:r>
        <w:rPr>
          <w:rFonts w:hAnsi="宋体"/>
        </w:rPr>
        <w:t>投标</w:t>
      </w:r>
      <w:r>
        <w:rPr>
          <w:rFonts w:hint="eastAsia" w:hAnsi="宋体"/>
        </w:rPr>
        <w:t>详见投标一览表。</w:t>
      </w:r>
    </w:p>
    <w:p w14:paraId="0E48128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如果在规定的开标时间后，投标人在投标有效期内撤回投标，其投标保证金将被没收。</w:t>
      </w:r>
    </w:p>
    <w:p w14:paraId="70409598">
      <w:pPr>
        <w:spacing w:line="360" w:lineRule="auto"/>
        <w:ind w:firstLine="735" w:firstLineChars="350"/>
        <w:rPr>
          <w:rFonts w:hAnsi="宋体"/>
        </w:rPr>
      </w:pPr>
      <w:r>
        <w:rPr>
          <w:rFonts w:hint="eastAsia" w:hAnsi="宋体"/>
        </w:rPr>
        <w:t>③保证遵守招标文件中的有关规定。</w:t>
      </w:r>
    </w:p>
    <w:p w14:paraId="4FEB3477">
      <w:pPr>
        <w:spacing w:line="360" w:lineRule="auto"/>
        <w:ind w:firstLine="735" w:firstLineChars="350"/>
        <w:rPr>
          <w:rFonts w:hAnsi="宋体"/>
        </w:rPr>
      </w:pPr>
      <w:r>
        <w:rPr>
          <w:rFonts w:hint="eastAsia" w:hAnsi="宋体"/>
        </w:rPr>
        <w:t>④保证忠实地执行买卖双方所签的经济合同，并承担合同规定的责任义务。</w:t>
      </w:r>
    </w:p>
    <w:p w14:paraId="46674B64">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23E11F74">
      <w:pPr>
        <w:spacing w:line="460" w:lineRule="exact"/>
        <w:ind w:right="17" w:firstLine="420"/>
      </w:pPr>
    </w:p>
    <w:p w14:paraId="59FBFFE9">
      <w:pPr>
        <w:spacing w:line="460" w:lineRule="exact"/>
        <w:ind w:right="17" w:firstLine="420"/>
      </w:pPr>
      <w:r>
        <w:rPr>
          <w:rFonts w:hint="eastAsia"/>
        </w:rPr>
        <w:t xml:space="preserve">   </w:t>
      </w:r>
    </w:p>
    <w:p w14:paraId="701C26DE">
      <w:pPr>
        <w:spacing w:line="460" w:lineRule="exact"/>
        <w:ind w:right="15" w:firstLine="4840"/>
      </w:pPr>
    </w:p>
    <w:p w14:paraId="6AD81D79">
      <w:pPr>
        <w:spacing w:line="460" w:lineRule="exact"/>
        <w:ind w:right="15" w:firstLine="4840"/>
      </w:pPr>
    </w:p>
    <w:p w14:paraId="042CF8A4">
      <w:pPr>
        <w:spacing w:line="460" w:lineRule="exact"/>
        <w:ind w:right="15" w:firstLine="4840"/>
      </w:pPr>
    </w:p>
    <w:p w14:paraId="45D7B64F">
      <w:pPr>
        <w:spacing w:line="460" w:lineRule="exact"/>
        <w:ind w:right="15" w:firstLine="4840"/>
      </w:pPr>
    </w:p>
    <w:p w14:paraId="0C1BF7E6">
      <w:pPr>
        <w:spacing w:line="460" w:lineRule="exact"/>
        <w:ind w:right="15" w:firstLine="4840"/>
      </w:pPr>
      <w:r>
        <w:rPr>
          <w:rFonts w:hint="eastAsia"/>
        </w:rPr>
        <w:t>投标人法人公章：</w:t>
      </w:r>
    </w:p>
    <w:p w14:paraId="50CD52B6">
      <w:pPr>
        <w:spacing w:line="460" w:lineRule="exact"/>
        <w:ind w:right="15" w:firstLine="494"/>
      </w:pPr>
    </w:p>
    <w:p w14:paraId="387CAAD5">
      <w:pPr>
        <w:spacing w:line="460" w:lineRule="exact"/>
        <w:ind w:right="15" w:firstLine="4840"/>
      </w:pPr>
      <w:r>
        <w:rPr>
          <w:rFonts w:hint="eastAsia"/>
        </w:rPr>
        <w:t>投标人法定代表人印鉴：</w:t>
      </w:r>
    </w:p>
    <w:p w14:paraId="2A180BEC">
      <w:pPr>
        <w:spacing w:line="460" w:lineRule="exact"/>
        <w:ind w:right="15" w:firstLine="630"/>
      </w:pPr>
    </w:p>
    <w:p w14:paraId="630A9585">
      <w:pPr>
        <w:snapToGrid w:val="0"/>
        <w:spacing w:line="520" w:lineRule="exact"/>
        <w:jc w:val="center"/>
      </w:pPr>
      <w:r>
        <w:rPr>
          <w:rFonts w:hint="eastAsia"/>
        </w:rPr>
        <w:t xml:space="preserve">                                   日期：      年   月   日</w:t>
      </w:r>
    </w:p>
    <w:p w14:paraId="18A3FD3D">
      <w:pPr>
        <w:spacing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甘肃</w:t>
      </w:r>
      <w:r>
        <w:rPr>
          <w:rFonts w:hint="eastAsia" w:asciiTheme="minorEastAsia" w:hAnsiTheme="minorEastAsia" w:eastAsiaTheme="minorEastAsia"/>
          <w:b/>
          <w:bCs/>
          <w:sz w:val="28"/>
          <w:szCs w:val="28"/>
          <w:lang w:eastAsia="zh-CN"/>
        </w:rPr>
        <w:t>京兰</w:t>
      </w:r>
      <w:r>
        <w:rPr>
          <w:rFonts w:asciiTheme="minorEastAsia" w:hAnsiTheme="minorEastAsia" w:eastAsiaTheme="minorEastAsia"/>
          <w:b/>
          <w:bCs/>
          <w:sz w:val="28"/>
          <w:szCs w:val="28"/>
        </w:rPr>
        <w:t>水泥有限公司</w:t>
      </w:r>
    </w:p>
    <w:p w14:paraId="017388FE">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石峡子石灰石运输</w:t>
      </w:r>
      <w:r>
        <w:rPr>
          <w:rFonts w:hint="eastAsia" w:asciiTheme="minorEastAsia" w:hAnsiTheme="minorEastAsia" w:eastAsiaTheme="minorEastAsia"/>
          <w:b/>
          <w:bCs/>
          <w:sz w:val="28"/>
          <w:szCs w:val="28"/>
        </w:rPr>
        <w:t>投标报价清单</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1991"/>
        <w:gridCol w:w="999"/>
        <w:gridCol w:w="996"/>
        <w:gridCol w:w="138"/>
        <w:gridCol w:w="1136"/>
        <w:gridCol w:w="1751"/>
      </w:tblGrid>
      <w:tr w14:paraId="2850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hRule="atLeast"/>
        </w:trPr>
        <w:tc>
          <w:tcPr>
            <w:tcW w:w="1511" w:type="dxa"/>
            <w:vMerge w:val="restart"/>
            <w:vAlign w:val="center"/>
          </w:tcPr>
          <w:p w14:paraId="1BCBB2B1">
            <w:pPr>
              <w:jc w:val="center"/>
              <w:rPr>
                <w:rFonts w:asciiTheme="minorEastAsia" w:hAnsiTheme="minorEastAsia" w:eastAsiaTheme="minorEastAsia"/>
                <w:b/>
              </w:rPr>
            </w:pPr>
            <w:r>
              <w:rPr>
                <w:rFonts w:asciiTheme="minorEastAsia" w:hAnsiTheme="minorEastAsia" w:eastAsiaTheme="minorEastAsia"/>
                <w:b/>
              </w:rPr>
              <w:t>材料名称</w:t>
            </w:r>
          </w:p>
        </w:tc>
        <w:tc>
          <w:tcPr>
            <w:tcW w:w="3986" w:type="dxa"/>
            <w:gridSpan w:val="3"/>
            <w:vAlign w:val="center"/>
          </w:tcPr>
          <w:p w14:paraId="420F9BE3">
            <w:pPr>
              <w:jc w:val="center"/>
              <w:rPr>
                <w:rFonts w:asciiTheme="minorEastAsia" w:hAnsiTheme="minorEastAsia" w:eastAsiaTheme="minorEastAsia"/>
                <w:b/>
              </w:rPr>
            </w:pPr>
            <w:r>
              <w:rPr>
                <w:rFonts w:hint="eastAsia" w:asciiTheme="minorEastAsia" w:hAnsiTheme="minorEastAsia" w:eastAsiaTheme="minorEastAsia"/>
                <w:b/>
                <w:lang w:val="en-US" w:eastAsia="zh-CN"/>
              </w:rPr>
              <w:t>运输</w:t>
            </w:r>
            <w:r>
              <w:rPr>
                <w:rFonts w:hint="eastAsia"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54C35C6F">
            <w:pPr>
              <w:jc w:val="center"/>
              <w:rPr>
                <w:rFonts w:asciiTheme="minorEastAsia" w:hAnsiTheme="minorEastAsia" w:eastAsiaTheme="minorEastAsia"/>
                <w:b/>
              </w:rPr>
            </w:pPr>
            <w:r>
              <w:rPr>
                <w:rFonts w:hint="eastAsia" w:asciiTheme="minorEastAsia" w:hAnsiTheme="minorEastAsia" w:eastAsiaTheme="minorEastAsia"/>
                <w:b/>
              </w:rPr>
              <w:t>合计单价</w:t>
            </w:r>
          </w:p>
          <w:p w14:paraId="15D6D61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7F23AD28">
            <w:pPr>
              <w:jc w:val="center"/>
              <w:rPr>
                <w:rFonts w:asciiTheme="minorEastAsia" w:hAnsiTheme="minorEastAsia" w:eastAsiaTheme="minorEastAsia"/>
                <w:b/>
              </w:rPr>
            </w:pPr>
            <w:r>
              <w:rPr>
                <w:rFonts w:hint="eastAsia" w:asciiTheme="minorEastAsia" w:hAnsiTheme="minorEastAsia" w:eastAsiaTheme="minorEastAsia"/>
                <w:b/>
                <w:lang w:val="en-US" w:eastAsia="zh-CN"/>
              </w:rPr>
              <w:t>运输</w:t>
            </w:r>
            <w:r>
              <w:rPr>
                <w:rFonts w:hint="eastAsia" w:asciiTheme="minorEastAsia" w:hAnsiTheme="minorEastAsia" w:eastAsiaTheme="minorEastAsia"/>
                <w:b/>
              </w:rPr>
              <w:t>能力</w:t>
            </w:r>
          </w:p>
        </w:tc>
      </w:tr>
      <w:tr w14:paraId="3A0CF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2C184D1E">
            <w:pPr>
              <w:jc w:val="center"/>
              <w:rPr>
                <w:rFonts w:asciiTheme="minorEastAsia" w:hAnsiTheme="minorEastAsia" w:eastAsiaTheme="minorEastAsia"/>
                <w:b/>
              </w:rPr>
            </w:pPr>
          </w:p>
        </w:tc>
        <w:tc>
          <w:tcPr>
            <w:tcW w:w="1991" w:type="dxa"/>
            <w:tcBorders>
              <w:right w:val="single" w:color="auto" w:sz="4" w:space="0"/>
            </w:tcBorders>
            <w:vAlign w:val="center"/>
          </w:tcPr>
          <w:p w14:paraId="53F6D615">
            <w:pPr>
              <w:jc w:val="center"/>
              <w:rPr>
                <w:rFonts w:hint="default" w:asciiTheme="minorEastAsia" w:hAnsiTheme="minorEastAsia" w:eastAsiaTheme="minorEastAsia"/>
                <w:b/>
                <w:lang w:val="en-US"/>
              </w:rPr>
            </w:pPr>
            <w:r>
              <w:rPr>
                <w:rFonts w:hint="eastAsia" w:asciiTheme="minorEastAsia" w:hAnsiTheme="minorEastAsia" w:eastAsiaTheme="minorEastAsia"/>
                <w:b/>
                <w:lang w:val="en-US" w:eastAsia="zh-CN"/>
              </w:rPr>
              <w:t>单价</w:t>
            </w:r>
          </w:p>
        </w:tc>
        <w:tc>
          <w:tcPr>
            <w:tcW w:w="1995" w:type="dxa"/>
            <w:gridSpan w:val="2"/>
            <w:tcBorders>
              <w:left w:val="single" w:color="auto" w:sz="4" w:space="0"/>
              <w:right w:val="single" w:color="auto" w:sz="4" w:space="0"/>
            </w:tcBorders>
            <w:vAlign w:val="center"/>
          </w:tcPr>
          <w:p w14:paraId="05FB880A">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03F055C6">
            <w:pPr>
              <w:jc w:val="center"/>
              <w:rPr>
                <w:rFonts w:asciiTheme="minorEastAsia" w:hAnsiTheme="minorEastAsia" w:eastAsiaTheme="minorEastAsia"/>
              </w:rPr>
            </w:pPr>
          </w:p>
        </w:tc>
        <w:tc>
          <w:tcPr>
            <w:tcW w:w="1751" w:type="dxa"/>
            <w:vMerge w:val="continue"/>
            <w:tcBorders>
              <w:left w:val="single" w:color="auto" w:sz="4" w:space="0"/>
            </w:tcBorders>
          </w:tcPr>
          <w:p w14:paraId="4C60444E">
            <w:pPr>
              <w:jc w:val="center"/>
              <w:rPr>
                <w:rFonts w:asciiTheme="minorEastAsia" w:hAnsiTheme="minorEastAsia" w:eastAsiaTheme="minorEastAsia"/>
              </w:rPr>
            </w:pPr>
          </w:p>
        </w:tc>
      </w:tr>
      <w:tr w14:paraId="45A63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511" w:type="dxa"/>
            <w:vAlign w:val="center"/>
          </w:tcPr>
          <w:p w14:paraId="33EF6B3B">
            <w:pPr>
              <w:jc w:val="center"/>
              <w:rPr>
                <w:rFonts w:asciiTheme="minorEastAsia" w:hAnsiTheme="minorEastAsia" w:eastAsiaTheme="minorEastAsia"/>
              </w:rPr>
            </w:pPr>
          </w:p>
        </w:tc>
        <w:tc>
          <w:tcPr>
            <w:tcW w:w="1991" w:type="dxa"/>
            <w:tcBorders>
              <w:right w:val="single" w:color="auto" w:sz="4" w:space="0"/>
            </w:tcBorders>
            <w:vAlign w:val="center"/>
          </w:tcPr>
          <w:p w14:paraId="5F5D2430">
            <w:pPr>
              <w:jc w:val="center"/>
              <w:rPr>
                <w:rFonts w:asciiTheme="minorEastAsia" w:hAnsiTheme="minorEastAsia" w:eastAsiaTheme="minorEastAsia"/>
              </w:rPr>
            </w:pPr>
          </w:p>
        </w:tc>
        <w:tc>
          <w:tcPr>
            <w:tcW w:w="1995" w:type="dxa"/>
            <w:gridSpan w:val="2"/>
            <w:tcBorders>
              <w:left w:val="single" w:color="auto" w:sz="4" w:space="0"/>
            </w:tcBorders>
            <w:vAlign w:val="center"/>
          </w:tcPr>
          <w:p w14:paraId="5E2B795A">
            <w:pPr>
              <w:jc w:val="center"/>
              <w:rPr>
                <w:rFonts w:asciiTheme="minorEastAsia" w:hAnsiTheme="minorEastAsia" w:eastAsiaTheme="minorEastAsia"/>
              </w:rPr>
            </w:pPr>
          </w:p>
        </w:tc>
        <w:tc>
          <w:tcPr>
            <w:tcW w:w="1274" w:type="dxa"/>
            <w:gridSpan w:val="2"/>
            <w:tcBorders>
              <w:right w:val="single" w:color="auto" w:sz="4" w:space="0"/>
            </w:tcBorders>
            <w:vAlign w:val="center"/>
          </w:tcPr>
          <w:p w14:paraId="51BAA353">
            <w:pPr>
              <w:jc w:val="center"/>
              <w:rPr>
                <w:rFonts w:asciiTheme="minorEastAsia" w:hAnsiTheme="minorEastAsia" w:eastAsiaTheme="minorEastAsia"/>
              </w:rPr>
            </w:pPr>
          </w:p>
        </w:tc>
        <w:tc>
          <w:tcPr>
            <w:tcW w:w="1751" w:type="dxa"/>
            <w:tcBorders>
              <w:left w:val="single" w:color="auto" w:sz="4" w:space="0"/>
            </w:tcBorders>
            <w:vAlign w:val="center"/>
          </w:tcPr>
          <w:p w14:paraId="60C0151C">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22958FEA">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0F051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5DB0E014">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5"/>
            <w:tcBorders>
              <w:right w:val="single" w:color="auto" w:sz="4" w:space="0"/>
            </w:tcBorders>
            <w:vAlign w:val="center"/>
          </w:tcPr>
          <w:p w14:paraId="339A644E">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0F571773">
            <w:pPr>
              <w:rPr>
                <w:rFonts w:asciiTheme="minorEastAsia" w:hAnsiTheme="minorEastAsia" w:eastAsiaTheme="minorEastAsia"/>
              </w:rPr>
            </w:pPr>
            <w:r>
              <w:rPr>
                <w:rFonts w:asciiTheme="minorEastAsia" w:hAnsiTheme="minorEastAsia" w:eastAsiaTheme="minorEastAsia"/>
              </w:rPr>
              <w:t>2……</w:t>
            </w:r>
          </w:p>
          <w:p w14:paraId="196CBB72">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4C577546">
            <w:pPr>
              <w:widowControl/>
              <w:autoSpaceDE/>
              <w:autoSpaceDN/>
              <w:adjustRightInd/>
              <w:spacing w:line="240" w:lineRule="auto"/>
              <w:jc w:val="left"/>
              <w:textAlignment w:val="auto"/>
              <w:rPr>
                <w:rFonts w:asciiTheme="minorEastAsia" w:hAnsiTheme="minorEastAsia" w:eastAsiaTheme="minorEastAsia"/>
              </w:rPr>
            </w:pPr>
          </w:p>
          <w:p w14:paraId="1FD85E8F">
            <w:pPr>
              <w:widowControl/>
              <w:autoSpaceDE/>
              <w:autoSpaceDN/>
              <w:adjustRightInd/>
              <w:spacing w:line="240" w:lineRule="auto"/>
              <w:jc w:val="left"/>
              <w:textAlignment w:val="auto"/>
              <w:rPr>
                <w:rFonts w:asciiTheme="minorEastAsia" w:hAnsiTheme="minorEastAsia" w:eastAsiaTheme="minorEastAsia"/>
              </w:rPr>
            </w:pPr>
          </w:p>
          <w:p w14:paraId="6CB5D7EB">
            <w:pPr>
              <w:rPr>
                <w:rFonts w:asciiTheme="minorEastAsia" w:hAnsiTheme="minorEastAsia" w:eastAsiaTheme="minorEastAsia"/>
              </w:rPr>
            </w:pPr>
          </w:p>
        </w:tc>
      </w:tr>
      <w:tr w14:paraId="7EBF0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511" w:type="dxa"/>
            <w:vAlign w:val="center"/>
          </w:tcPr>
          <w:p w14:paraId="7529219F">
            <w:pPr>
              <w:spacing w:line="360" w:lineRule="auto"/>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车辆组织来源</w:t>
            </w:r>
          </w:p>
        </w:tc>
        <w:tc>
          <w:tcPr>
            <w:tcW w:w="5260" w:type="dxa"/>
            <w:gridSpan w:val="5"/>
            <w:tcBorders>
              <w:right w:val="single" w:color="auto" w:sz="4" w:space="0"/>
            </w:tcBorders>
            <w:vAlign w:val="center"/>
          </w:tcPr>
          <w:p w14:paraId="4C26FB13">
            <w:pPr>
              <w:jc w:val="left"/>
              <w:rPr>
                <w:rFonts w:hint="default" w:asciiTheme="minorEastAsia" w:hAnsiTheme="minorEastAsia" w:eastAsiaTheme="minorEastAsia"/>
                <w:color w:val="FF0000"/>
                <w:lang w:val="en-US" w:eastAsia="zh-CN"/>
              </w:rPr>
            </w:pPr>
            <w:r>
              <w:rPr>
                <w:rFonts w:hint="eastAsia" w:asciiTheme="minorEastAsia" w:hAnsiTheme="minorEastAsia" w:eastAsiaTheme="minorEastAsia"/>
                <w:color w:val="FF0000"/>
              </w:rPr>
              <w:t>例：</w:t>
            </w:r>
            <w:r>
              <w:rPr>
                <w:rFonts w:hint="eastAsia" w:asciiTheme="minorEastAsia" w:hAnsiTheme="minorEastAsia" w:eastAsiaTheme="minorEastAsia"/>
                <w:color w:val="FF0000"/>
                <w:lang w:val="en-US" w:eastAsia="zh-CN"/>
              </w:rPr>
              <w:t>公司自有车辆</w:t>
            </w:r>
            <w:r>
              <w:rPr>
                <w:rFonts w:hint="eastAsia" w:asciiTheme="minorEastAsia" w:hAnsiTheme="minorEastAsia" w:eastAsiaTheme="minorEastAsia"/>
                <w:color w:val="FF0000"/>
              </w:rPr>
              <w:t>、</w:t>
            </w:r>
            <w:r>
              <w:rPr>
                <w:rFonts w:hint="eastAsia" w:asciiTheme="minorEastAsia" w:hAnsiTheme="minorEastAsia" w:eastAsiaTheme="minorEastAsia"/>
                <w:color w:val="FF0000"/>
                <w:lang w:val="en-US" w:eastAsia="zh-CN"/>
              </w:rPr>
              <w:t>外雇个体车辆、外雇车队</w:t>
            </w:r>
          </w:p>
        </w:tc>
        <w:tc>
          <w:tcPr>
            <w:tcW w:w="1751" w:type="dxa"/>
            <w:tcBorders>
              <w:left w:val="single" w:color="auto" w:sz="4" w:space="0"/>
            </w:tcBorders>
            <w:vAlign w:val="center"/>
          </w:tcPr>
          <w:p w14:paraId="38177418">
            <w:pPr>
              <w:jc w:val="left"/>
              <w:rPr>
                <w:rFonts w:asciiTheme="minorEastAsia" w:hAnsiTheme="minorEastAsia" w:eastAsiaTheme="minorEastAsia"/>
                <w:color w:val="FF0000"/>
              </w:rPr>
            </w:pPr>
          </w:p>
        </w:tc>
      </w:tr>
      <w:tr w14:paraId="33AC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Align w:val="center"/>
          </w:tcPr>
          <w:p w14:paraId="3C688B6B">
            <w:pPr>
              <w:jc w:val="center"/>
              <w:rPr>
                <w:rFonts w:hint="eastAsia" w:asciiTheme="minorEastAsia" w:hAnsiTheme="minorEastAsia" w:eastAsiaTheme="minorEastAsia"/>
                <w:lang w:val="en-US" w:eastAsia="zh-CN"/>
              </w:rPr>
            </w:pPr>
            <w:r>
              <w:rPr>
                <w:rFonts w:asciiTheme="minorEastAsia" w:hAnsiTheme="minorEastAsia" w:eastAsiaTheme="minorEastAsia"/>
              </w:rPr>
              <w:t>运输</w:t>
            </w:r>
            <w:r>
              <w:rPr>
                <w:rFonts w:hint="eastAsia" w:asciiTheme="minorEastAsia" w:hAnsiTheme="minorEastAsia" w:eastAsiaTheme="minorEastAsia"/>
                <w:lang w:val="en-US" w:eastAsia="zh-CN"/>
              </w:rPr>
              <w:t>车型</w:t>
            </w:r>
          </w:p>
        </w:tc>
        <w:tc>
          <w:tcPr>
            <w:tcW w:w="2990" w:type="dxa"/>
            <w:gridSpan w:val="2"/>
            <w:vAlign w:val="center"/>
          </w:tcPr>
          <w:p w14:paraId="794170C6">
            <w:pPr>
              <w:rPr>
                <w:rFonts w:hint="default" w:asciiTheme="minorEastAsia" w:hAnsiTheme="minorEastAsia" w:eastAsiaTheme="minorEastAsia"/>
                <w:lang w:val="en-US" w:eastAsia="zh-CN"/>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hint="eastAsia" w:asciiTheme="minorEastAsia" w:hAnsiTheme="minorEastAsia" w:eastAsiaTheme="minorEastAsia"/>
                <w:color w:val="FF0000"/>
                <w:lang w:val="en-US" w:eastAsia="zh-CN"/>
              </w:rPr>
              <w:t>双桥自卸式重型货车</w:t>
            </w:r>
          </w:p>
        </w:tc>
        <w:tc>
          <w:tcPr>
            <w:tcW w:w="1134" w:type="dxa"/>
            <w:gridSpan w:val="2"/>
            <w:tcBorders>
              <w:right w:val="single" w:color="auto" w:sz="4" w:space="0"/>
            </w:tcBorders>
            <w:vAlign w:val="center"/>
          </w:tcPr>
          <w:p w14:paraId="4A7EC242">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38813D11">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22C4D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93380F2">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6"/>
            <w:vAlign w:val="center"/>
          </w:tcPr>
          <w:p w14:paraId="6110C27E">
            <w:pPr>
              <w:jc w:val="center"/>
              <w:rPr>
                <w:rFonts w:asciiTheme="minorEastAsia" w:hAnsiTheme="minorEastAsia" w:eastAsiaTheme="minorEastAsia"/>
              </w:rPr>
            </w:pPr>
          </w:p>
        </w:tc>
      </w:tr>
    </w:tbl>
    <w:p w14:paraId="17E3593A">
      <w:pPr>
        <w:jc w:val="center"/>
        <w:rPr>
          <w:rFonts w:asciiTheme="minorEastAsia" w:hAnsiTheme="minorEastAsia" w:eastAsiaTheme="minorEastAsia"/>
        </w:rPr>
      </w:pPr>
    </w:p>
    <w:p w14:paraId="7210B3C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B43C49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1C7D9D7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41DE7CE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2AAFBC48">
      <w:pPr>
        <w:rPr>
          <w:sz w:val="24"/>
          <w:szCs w:val="24"/>
        </w:rPr>
      </w:pPr>
    </w:p>
    <w:p w14:paraId="283267CB">
      <w:pPr>
        <w:rPr>
          <w:sz w:val="24"/>
          <w:szCs w:val="24"/>
        </w:rPr>
      </w:pPr>
    </w:p>
    <w:p w14:paraId="26EF1081">
      <w:pPr>
        <w:rPr>
          <w:sz w:val="24"/>
          <w:szCs w:val="24"/>
        </w:rPr>
      </w:pPr>
    </w:p>
    <w:p w14:paraId="290267F3">
      <w:pPr>
        <w:rPr>
          <w:sz w:val="24"/>
          <w:szCs w:val="24"/>
        </w:rPr>
      </w:pPr>
    </w:p>
    <w:p w14:paraId="326D7746">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11C64B64">
      <w:pPr>
        <w:rPr>
          <w:sz w:val="24"/>
          <w:szCs w:val="24"/>
        </w:rPr>
      </w:pPr>
    </w:p>
    <w:p w14:paraId="20C6167C">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3879621D"/>
    <w:p w14:paraId="5C09F0C4"/>
    <w:p w14:paraId="4365830D"/>
    <w:p w14:paraId="2B0CF5DD"/>
    <w:p w14:paraId="5896CA77"/>
    <w:p w14:paraId="00BD8DEB"/>
    <w:p w14:paraId="70DCBD2C"/>
    <w:p w14:paraId="43630D8A"/>
    <w:p w14:paraId="5316B3BA"/>
    <w:p w14:paraId="7C24CF2C">
      <w:pPr>
        <w:pStyle w:val="15"/>
        <w:ind w:firstLine="0"/>
        <w:rPr>
          <w:b w:val="0"/>
        </w:rPr>
      </w:pPr>
      <w:r>
        <w:rPr>
          <w:rFonts w:hint="eastAsia"/>
          <w:b w:val="0"/>
        </w:rPr>
        <w:t>第三章    质量技术要求</w:t>
      </w:r>
    </w:p>
    <w:p w14:paraId="5FC89DAC">
      <w:pPr>
        <w:rPr>
          <w:rFonts w:hint="eastAsia"/>
        </w:rPr>
      </w:pPr>
      <w:r>
        <w:t>质量技术要求</w:t>
      </w:r>
    </w:p>
    <w:p w14:paraId="4166DBE3">
      <w:r>
        <w:rPr>
          <w:rFonts w:hint="eastAsia"/>
        </w:rPr>
        <w:t>在《2025年度</w:t>
      </w:r>
      <w:r>
        <w:rPr>
          <w:rFonts w:hint="eastAsia"/>
          <w:lang w:val="en-US" w:eastAsia="zh-CN"/>
        </w:rPr>
        <w:t>运输</w:t>
      </w:r>
      <w:r>
        <w:rPr>
          <w:rFonts w:hint="eastAsia"/>
        </w:rPr>
        <w:t>招标计划》中</w:t>
      </w:r>
      <w:r>
        <w:rPr>
          <w:rFonts w:hint="eastAsia"/>
          <w:lang w:eastAsia="zh-CN"/>
        </w:rPr>
        <w:t>，</w:t>
      </w:r>
      <w:r>
        <w:rPr>
          <w:rFonts w:hint="eastAsia"/>
          <w:lang w:val="en-US" w:eastAsia="zh-CN"/>
        </w:rPr>
        <w:t>对资质审核合格的供应商私发投标邀请函及质量技术要求。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445949AF"/>
    <w:multiLevelType w:val="multilevel"/>
    <w:tmpl w:val="445949AF"/>
    <w:lvl w:ilvl="0" w:tentative="0">
      <w:start w:val="2"/>
      <w:numFmt w:val="decimal"/>
      <w:lvlText w:val="%1"/>
      <w:lvlJc w:val="left"/>
      <w:pPr>
        <w:tabs>
          <w:tab w:val="left" w:pos="425"/>
        </w:tabs>
        <w:ind w:left="425" w:hanging="425"/>
      </w:pPr>
      <w:rPr>
        <w:rFonts w:hint="default"/>
        <w:b/>
        <w:bCs/>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000000" w:themeColor="text1"/>
        <w14:textFill>
          <w14:solidFill>
            <w14:schemeClr w14:val="tx1"/>
          </w14:solidFill>
        </w14:textFil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2E05AD3"/>
    <w:rsid w:val="04BF588C"/>
    <w:rsid w:val="08275C22"/>
    <w:rsid w:val="09683FE4"/>
    <w:rsid w:val="09F16926"/>
    <w:rsid w:val="0B6C5FB9"/>
    <w:rsid w:val="0F3D5F05"/>
    <w:rsid w:val="13FC4407"/>
    <w:rsid w:val="170535D2"/>
    <w:rsid w:val="1B9227DD"/>
    <w:rsid w:val="1C2344FA"/>
    <w:rsid w:val="1F981E5F"/>
    <w:rsid w:val="206224C0"/>
    <w:rsid w:val="24C924D8"/>
    <w:rsid w:val="26D338E2"/>
    <w:rsid w:val="279B588D"/>
    <w:rsid w:val="2C595B41"/>
    <w:rsid w:val="2C6F1100"/>
    <w:rsid w:val="2CC35757"/>
    <w:rsid w:val="2DC7742F"/>
    <w:rsid w:val="2E290D28"/>
    <w:rsid w:val="2E97124C"/>
    <w:rsid w:val="31077160"/>
    <w:rsid w:val="35AD5109"/>
    <w:rsid w:val="37710195"/>
    <w:rsid w:val="391C69ED"/>
    <w:rsid w:val="39A34E58"/>
    <w:rsid w:val="3A7461F5"/>
    <w:rsid w:val="3BBA40DC"/>
    <w:rsid w:val="3D332767"/>
    <w:rsid w:val="3DD516A1"/>
    <w:rsid w:val="47C25B7F"/>
    <w:rsid w:val="48B00D40"/>
    <w:rsid w:val="55BE0279"/>
    <w:rsid w:val="583152CE"/>
    <w:rsid w:val="5A52456E"/>
    <w:rsid w:val="5C495DD3"/>
    <w:rsid w:val="5DEC2410"/>
    <w:rsid w:val="61C70F39"/>
    <w:rsid w:val="643A4556"/>
    <w:rsid w:val="68D617E1"/>
    <w:rsid w:val="695D758B"/>
    <w:rsid w:val="6CD50A92"/>
    <w:rsid w:val="6D0149E4"/>
    <w:rsid w:val="7460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3">
    <w:name w:val="heading 1"/>
    <w:basedOn w:val="1"/>
    <w:next w:val="1"/>
    <w:link w:val="12"/>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13"/>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paragraph" w:styleId="5">
    <w:name w:val="Salutation"/>
    <w:basedOn w:val="1"/>
    <w:next w:val="1"/>
    <w:link w:val="16"/>
    <w:qFormat/>
    <w:uiPriority w:val="0"/>
    <w:pPr>
      <w:autoSpaceDE/>
      <w:autoSpaceDN/>
      <w:adjustRightInd/>
      <w:spacing w:line="240" w:lineRule="auto"/>
      <w:textAlignment w:val="auto"/>
    </w:pPr>
    <w:rPr>
      <w:rFonts w:ascii="Times New Roman" w:hAnsi="Times New Roman"/>
      <w:kern w:val="2"/>
      <w:sz w:val="30"/>
      <w:szCs w:val="30"/>
    </w:rPr>
  </w:style>
  <w:style w:type="paragraph" w:styleId="6">
    <w:name w:val="Closing"/>
    <w:basedOn w:val="1"/>
    <w:link w:val="17"/>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7">
    <w:name w:val="footer"/>
    <w:basedOn w:val="1"/>
    <w:link w:val="20"/>
    <w:semiHidden/>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标题 1 Char"/>
    <w:basedOn w:val="11"/>
    <w:link w:val="3"/>
    <w:qFormat/>
    <w:uiPriority w:val="0"/>
    <w:rPr>
      <w:rFonts w:ascii="宋体" w:hAnsi="Tms Rmn" w:eastAsia="宋体" w:cs="Times New Roman"/>
      <w:b/>
      <w:bCs/>
      <w:kern w:val="44"/>
      <w:sz w:val="44"/>
      <w:szCs w:val="44"/>
    </w:rPr>
  </w:style>
  <w:style w:type="character" w:customStyle="1" w:styleId="13">
    <w:name w:val="标题 2 Char"/>
    <w:basedOn w:val="11"/>
    <w:link w:val="4"/>
    <w:qFormat/>
    <w:uiPriority w:val="0"/>
    <w:rPr>
      <w:rFonts w:ascii="Times New Roman" w:hAnsi="Times New Roman" w:eastAsia="宋体" w:cs="Times New Roman"/>
      <w:b/>
      <w:kern w:val="28"/>
      <w:sz w:val="28"/>
      <w:szCs w:val="20"/>
    </w:rPr>
  </w:style>
  <w:style w:type="paragraph" w:customStyle="1" w:styleId="14">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5">
    <w:name w:val="样式 标题1"/>
    <w:basedOn w:val="3"/>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6">
    <w:name w:val="称呼 Char"/>
    <w:basedOn w:val="11"/>
    <w:link w:val="5"/>
    <w:qFormat/>
    <w:uiPriority w:val="0"/>
    <w:rPr>
      <w:rFonts w:ascii="Times New Roman" w:hAnsi="Times New Roman" w:eastAsia="宋体" w:cs="Times New Roman"/>
      <w:sz w:val="30"/>
      <w:szCs w:val="30"/>
    </w:rPr>
  </w:style>
  <w:style w:type="character" w:customStyle="1" w:styleId="17">
    <w:name w:val="结束语 Char"/>
    <w:basedOn w:val="11"/>
    <w:link w:val="6"/>
    <w:qFormat/>
    <w:uiPriority w:val="0"/>
    <w:rPr>
      <w:rFonts w:ascii="Times New Roman" w:hAnsi="Times New Roman" w:eastAsia="宋体" w:cs="Times New Roman"/>
      <w:sz w:val="30"/>
      <w:szCs w:val="30"/>
    </w:rPr>
  </w:style>
  <w:style w:type="paragraph" w:styleId="18">
    <w:name w:val="List Paragraph"/>
    <w:basedOn w:val="1"/>
    <w:qFormat/>
    <w:uiPriority w:val="34"/>
    <w:pPr>
      <w:ind w:firstLine="420" w:firstLineChars="200"/>
    </w:pPr>
  </w:style>
  <w:style w:type="character" w:customStyle="1" w:styleId="19">
    <w:name w:val="页眉 Char"/>
    <w:basedOn w:val="11"/>
    <w:link w:val="8"/>
    <w:semiHidden/>
    <w:qFormat/>
    <w:uiPriority w:val="99"/>
    <w:rPr>
      <w:rFonts w:ascii="宋体" w:hAnsi="Tms Rmn" w:eastAsia="宋体" w:cs="Times New Roman"/>
      <w:kern w:val="0"/>
      <w:sz w:val="18"/>
      <w:szCs w:val="18"/>
    </w:rPr>
  </w:style>
  <w:style w:type="character" w:customStyle="1" w:styleId="20">
    <w:name w:val="页脚 Char"/>
    <w:basedOn w:val="11"/>
    <w:link w:val="7"/>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3005</Words>
  <Characters>3096</Characters>
  <Lines>28</Lines>
  <Paragraphs>7</Paragraphs>
  <TotalTime>5</TotalTime>
  <ScaleCrop>false</ScaleCrop>
  <LinksUpToDate>false</LinksUpToDate>
  <CharactersWithSpaces>3465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谁谁谁</cp:lastModifiedBy>
  <dcterms:modified xsi:type="dcterms:W3CDTF">2025-01-03T03:08:03Z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07F77096EBF445B58967519FD2CA8C55_13</vt:lpwstr>
  </property>
  <property fmtid="{D5CDD505-2E9C-101B-9397-08002B2CF9AE}" pid="4" name="KSOTemplateDocerSaveRecord">
    <vt:lpwstr>eyJoZGlkIjoiNWFmM2RjY2FlZmVhZGMzODAzNzJkOGYyOWVhODI4MzgiLCJ1c2VySWQiOiIyMjc3ODcyOTEifQ==</vt:lpwstr>
  </property>
</Properties>
</file>