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C748">
      <w:pPr>
        <w:autoSpaceDE/>
        <w:autoSpaceDN/>
        <w:spacing w:before="100" w:beforeAutospacing="1" w:after="100" w:afterAutospacing="1" w:line="600" w:lineRule="atLeast"/>
        <w:jc w:val="center"/>
        <w:rPr>
          <w:rFonts w:hint="eastAsia" w:ascii="宋体" w:hAnsi="Times New Roman" w:eastAsia="楷体_GB2312" w:cs="Times New Roman"/>
          <w:b/>
          <w:spacing w:val="10"/>
          <w:sz w:val="44"/>
          <w:szCs w:val="52"/>
          <w:lang w:val="en-US" w:eastAsia="zh-CN"/>
        </w:rPr>
      </w:pPr>
      <w:r>
        <w:rPr>
          <w:rFonts w:hint="eastAsia" w:ascii="宋体" w:hAnsi="Times New Roman" w:eastAsia="楷体_GB2312" w:cs="Times New Roman"/>
          <w:b/>
          <w:spacing w:val="10"/>
          <w:sz w:val="44"/>
          <w:szCs w:val="52"/>
          <w:lang w:val="en-US" w:eastAsia="zh-CN"/>
        </w:rPr>
        <w:t>2025-2026京兰水泥武宣至广东</w:t>
      </w:r>
    </w:p>
    <w:p w14:paraId="4238F961">
      <w:pPr>
        <w:autoSpaceDE/>
        <w:autoSpaceDN/>
        <w:spacing w:before="100" w:beforeAutospacing="1" w:after="100" w:afterAutospacing="1" w:line="600" w:lineRule="atLeast"/>
        <w:jc w:val="center"/>
        <w:rPr>
          <w:rFonts w:hint="eastAsia" w:ascii="宋体" w:hAnsi="宋体" w:eastAsia="宋体" w:cs="宋体"/>
          <w:b/>
          <w:bCs/>
          <w:color w:val="auto"/>
          <w:spacing w:val="4"/>
          <w:kern w:val="2"/>
          <w:sz w:val="43"/>
          <w:szCs w:val="43"/>
          <w:highlight w:val="none"/>
          <w:lang w:val="en-US" w:eastAsia="zh-CN"/>
        </w:rPr>
      </w:pPr>
      <w:r>
        <w:rPr>
          <w:rFonts w:hint="eastAsia" w:ascii="宋体" w:hAnsi="Times New Roman" w:eastAsia="楷体_GB2312" w:cs="Times New Roman"/>
          <w:b/>
          <w:spacing w:val="10"/>
          <w:sz w:val="44"/>
          <w:szCs w:val="52"/>
          <w:lang w:val="en-US" w:eastAsia="zh-CN"/>
        </w:rPr>
        <w:t>船舶运输服务项目</w:t>
      </w:r>
    </w:p>
    <w:p w14:paraId="0AB471A2">
      <w:pPr>
        <w:autoSpaceDE/>
        <w:autoSpaceDN/>
        <w:spacing w:before="100" w:beforeAutospacing="1" w:after="100" w:afterAutospacing="1" w:line="960" w:lineRule="atLeast"/>
        <w:jc w:val="center"/>
        <w:rPr>
          <w:rFonts w:hint="eastAsia" w:ascii="宋体" w:hAnsi="Times New Roman" w:eastAsia="宋体" w:cs="Times New Roman"/>
          <w:b/>
          <w:spacing w:val="10"/>
          <w:sz w:val="72"/>
          <w:szCs w:val="72"/>
        </w:rPr>
      </w:pPr>
      <w:bookmarkStart w:id="0" w:name="OLE_LINK2"/>
      <w:r>
        <w:rPr>
          <w:rFonts w:hint="eastAsia" w:ascii="宋体" w:hAnsi="Times New Roman" w:eastAsia="宋体" w:cs="Times New Roman"/>
          <w:b/>
          <w:spacing w:val="10"/>
          <w:sz w:val="72"/>
          <w:szCs w:val="72"/>
        </w:rPr>
        <w:t>招标文件</w:t>
      </w:r>
    </w:p>
    <w:p w14:paraId="0508198E">
      <w:pPr>
        <w:autoSpaceDE/>
        <w:autoSpaceDN/>
        <w:adjustRightInd/>
        <w:snapToGrid w:val="0"/>
        <w:spacing w:line="360" w:lineRule="auto"/>
        <w:ind w:firstLine="0" w:firstLineChars="0"/>
        <w:jc w:val="center"/>
        <w:textAlignment w:val="auto"/>
        <w:rPr>
          <w:rFonts w:hint="eastAsia" w:ascii="仿宋" w:hAnsi="仿宋" w:eastAsia="仿宋" w:cs="Times New Roman"/>
          <w:b/>
          <w:kern w:val="2"/>
          <w:sz w:val="72"/>
          <w:szCs w:val="72"/>
          <w:highlight w:val="none"/>
        </w:rPr>
      </w:pPr>
      <w:r>
        <w:rPr>
          <w:rFonts w:hint="eastAsia" w:ascii="仿宋" w:hAnsi="仿宋" w:eastAsia="仿宋" w:cs="Times New Roman"/>
          <w:b/>
          <w:kern w:val="2"/>
          <w:sz w:val="72"/>
          <w:szCs w:val="72"/>
          <w:highlight w:val="none"/>
        </w:rPr>
        <w:t xml:space="preserve">  </w:t>
      </w:r>
    </w:p>
    <w:p w14:paraId="1A6E2227">
      <w:pPr>
        <w:spacing w:before="100" w:beforeAutospacing="1" w:after="100" w:afterAutospacing="1" w:line="440" w:lineRule="atLeast"/>
        <w:jc w:val="center"/>
        <w:rPr>
          <w:rFonts w:hint="eastAsia" w:ascii="宋体" w:eastAsia="宋体" w:cs="Times New Roman"/>
          <w:sz w:val="36"/>
        </w:rPr>
      </w:pPr>
      <w:r>
        <w:rPr>
          <w:rFonts w:hint="eastAsia" w:ascii="宋体" w:eastAsia="宋体" w:cs="Times New Roman"/>
          <w:sz w:val="36"/>
        </w:rPr>
        <w:t>编号：GX</w:t>
      </w:r>
      <w:r>
        <w:rPr>
          <w:rFonts w:hint="eastAsia" w:ascii="宋体" w:eastAsia="宋体" w:cs="Times New Roman"/>
          <w:sz w:val="36"/>
          <w:lang w:val="en-US" w:eastAsia="zh-CN"/>
        </w:rPr>
        <w:t>JL202502</w:t>
      </w:r>
      <w:bookmarkEnd w:id="0"/>
    </w:p>
    <w:p w14:paraId="24143768">
      <w:pPr>
        <w:spacing w:before="100" w:beforeAutospacing="1" w:after="100" w:afterAutospacing="1" w:line="440" w:lineRule="atLeast"/>
        <w:jc w:val="center"/>
        <w:rPr>
          <w:rFonts w:hint="eastAsia" w:ascii="宋体" w:hAnsi="宋体" w:eastAsia="宋体" w:cs="宋体"/>
          <w:color w:val="auto"/>
          <w:sz w:val="32"/>
          <w:highlight w:val="none"/>
        </w:rPr>
      </w:pPr>
    </w:p>
    <w:p w14:paraId="0AE1CD92">
      <w:pPr>
        <w:spacing w:before="100" w:beforeAutospacing="1" w:after="100" w:afterAutospacing="1" w:line="440" w:lineRule="atLeast"/>
        <w:jc w:val="center"/>
        <w:rPr>
          <w:rFonts w:hint="eastAsia" w:ascii="宋体" w:hAnsi="宋体" w:eastAsia="宋体" w:cs="宋体"/>
          <w:color w:val="auto"/>
          <w:sz w:val="32"/>
          <w:highlight w:val="none"/>
        </w:rPr>
      </w:pPr>
    </w:p>
    <w:p w14:paraId="35D8CA07">
      <w:pPr>
        <w:spacing w:before="100" w:beforeAutospacing="1" w:after="100" w:afterAutospacing="1" w:line="440" w:lineRule="atLeast"/>
        <w:jc w:val="center"/>
        <w:rPr>
          <w:rFonts w:hint="eastAsia" w:ascii="宋体" w:hAnsi="宋体" w:eastAsia="宋体" w:cs="宋体"/>
          <w:color w:val="auto"/>
          <w:sz w:val="32"/>
          <w:highlight w:val="none"/>
        </w:rPr>
      </w:pPr>
    </w:p>
    <w:p w14:paraId="6EB88C50">
      <w:pPr>
        <w:spacing w:before="100" w:beforeAutospacing="1" w:after="100" w:afterAutospacing="1" w:line="440" w:lineRule="atLeast"/>
        <w:jc w:val="center"/>
        <w:rPr>
          <w:rFonts w:hint="eastAsia" w:ascii="宋体" w:hAnsi="宋体" w:eastAsia="宋体" w:cs="宋体"/>
          <w:color w:val="auto"/>
          <w:sz w:val="32"/>
          <w:highlight w:val="none"/>
        </w:rPr>
      </w:pPr>
    </w:p>
    <w:p w14:paraId="0B9C2DD3">
      <w:pPr>
        <w:spacing w:before="100" w:beforeAutospacing="1" w:after="100" w:afterAutospacing="1" w:line="440" w:lineRule="atLeast"/>
        <w:jc w:val="center"/>
        <w:rPr>
          <w:rFonts w:hint="eastAsia" w:ascii="宋体" w:eastAsia="宋体" w:cs="Times New Roman"/>
          <w:sz w:val="36"/>
        </w:rPr>
      </w:pPr>
      <w:r>
        <w:rPr>
          <w:rFonts w:hint="eastAsia" w:ascii="宋体" w:eastAsia="宋体" w:cs="Times New Roman"/>
          <w:sz w:val="36"/>
        </w:rPr>
        <w:t>招标单位：广西</w:t>
      </w:r>
      <w:r>
        <w:rPr>
          <w:rFonts w:hint="eastAsia" w:ascii="宋体" w:eastAsia="宋体" w:cs="Times New Roman"/>
          <w:sz w:val="36"/>
          <w:lang w:eastAsia="zh-CN"/>
        </w:rPr>
        <w:t>京兰</w:t>
      </w:r>
      <w:r>
        <w:rPr>
          <w:rFonts w:hint="eastAsia" w:ascii="宋体" w:eastAsia="宋体" w:cs="Times New Roman"/>
          <w:sz w:val="36"/>
        </w:rPr>
        <w:t>水泥有限公司</w:t>
      </w:r>
    </w:p>
    <w:p w14:paraId="7C576074">
      <w:pPr>
        <w:spacing w:before="100" w:beforeAutospacing="1" w:after="100" w:afterAutospacing="1" w:line="440" w:lineRule="atLeast"/>
        <w:jc w:val="center"/>
        <w:rPr>
          <w:rFonts w:hint="eastAsia" w:ascii="宋体" w:eastAsia="宋体" w:cs="Times New Roman"/>
          <w:sz w:val="36"/>
        </w:rPr>
      </w:pPr>
      <w:r>
        <w:rPr>
          <w:rFonts w:hint="eastAsia" w:ascii="宋体" w:eastAsia="宋体" w:cs="Times New Roman"/>
          <w:sz w:val="36"/>
        </w:rPr>
        <w:t>202</w:t>
      </w:r>
      <w:r>
        <w:rPr>
          <w:rFonts w:hint="eastAsia" w:ascii="宋体" w:eastAsia="宋体" w:cs="Times New Roman"/>
          <w:sz w:val="36"/>
          <w:lang w:val="en-US" w:eastAsia="zh-CN"/>
        </w:rPr>
        <w:t>5</w:t>
      </w:r>
      <w:r>
        <w:rPr>
          <w:rFonts w:hint="eastAsia" w:ascii="宋体" w:eastAsia="宋体" w:cs="Times New Roman"/>
          <w:sz w:val="36"/>
        </w:rPr>
        <w:t>年</w:t>
      </w:r>
      <w:r>
        <w:rPr>
          <w:rFonts w:hint="eastAsia" w:ascii="宋体" w:eastAsia="宋体" w:cs="Times New Roman"/>
          <w:sz w:val="36"/>
          <w:lang w:val="en-US" w:eastAsia="zh-CN"/>
        </w:rPr>
        <w:t>02</w:t>
      </w:r>
      <w:r>
        <w:rPr>
          <w:rFonts w:hint="eastAsia" w:ascii="宋体" w:eastAsia="宋体" w:cs="Times New Roman"/>
          <w:sz w:val="36"/>
        </w:rPr>
        <w:t>月</w:t>
      </w:r>
    </w:p>
    <w:p w14:paraId="75F894A0">
      <w:pPr>
        <w:rPr>
          <w:rFonts w:hint="eastAsia" w:ascii="宋体" w:hAnsi="宋体" w:eastAsia="宋体" w:cs="宋体"/>
          <w:color w:val="auto"/>
          <w:highlight w:val="none"/>
        </w:rPr>
      </w:pPr>
    </w:p>
    <w:p w14:paraId="1365E582">
      <w:pPr>
        <w:rPr>
          <w:rFonts w:hint="eastAsia" w:ascii="宋体" w:hAnsi="宋体" w:eastAsia="宋体" w:cs="宋体"/>
          <w:color w:val="auto"/>
          <w:highlight w:val="none"/>
        </w:rPr>
      </w:pPr>
    </w:p>
    <w:p w14:paraId="7801329D">
      <w:pPr>
        <w:pStyle w:val="2"/>
        <w:rPr>
          <w:rFonts w:hint="eastAsia" w:ascii="宋体" w:hAnsi="宋体" w:eastAsia="宋体" w:cs="宋体"/>
          <w:color w:val="auto"/>
          <w:highlight w:val="none"/>
        </w:rPr>
      </w:pPr>
    </w:p>
    <w:p w14:paraId="34900073">
      <w:pPr>
        <w:rPr>
          <w:rFonts w:hint="eastAsia"/>
        </w:rPr>
      </w:pPr>
    </w:p>
    <w:p w14:paraId="2DB22105">
      <w:pPr>
        <w:rPr>
          <w:rFonts w:hint="eastAsia" w:ascii="宋体" w:hAnsi="宋体" w:eastAsia="宋体" w:cs="宋体"/>
          <w:color w:val="auto"/>
          <w:highlight w:val="none"/>
        </w:rPr>
      </w:pPr>
    </w:p>
    <w:p w14:paraId="5B058B7F">
      <w:pPr>
        <w:spacing w:before="100" w:beforeAutospacing="1" w:after="100" w:afterAutospacing="1" w:line="440" w:lineRule="atLeast"/>
        <w:ind w:firstLine="3092" w:firstLineChars="700"/>
        <w:jc w:val="both"/>
        <w:rPr>
          <w:rFonts w:hint="eastAsia" w:ascii="宋体" w:hAnsi="宋体" w:eastAsia="宋体" w:cs="宋体"/>
          <w:b/>
          <w:bCs/>
          <w:color w:val="auto"/>
          <w:sz w:val="44"/>
          <w:szCs w:val="32"/>
          <w:highlight w:val="none"/>
        </w:rPr>
      </w:pPr>
      <w:r>
        <w:rPr>
          <w:rFonts w:hint="eastAsia" w:ascii="宋体" w:hAnsi="宋体" w:eastAsia="宋体" w:cs="宋体"/>
          <w:b/>
          <w:bCs/>
          <w:color w:val="auto"/>
          <w:sz w:val="44"/>
          <w:szCs w:val="32"/>
          <w:highlight w:val="none"/>
        </w:rPr>
        <w:t>目  录</w:t>
      </w:r>
    </w:p>
    <w:p w14:paraId="3B384222">
      <w:pPr>
        <w:pStyle w:val="2"/>
        <w:rPr>
          <w:rFonts w:hint="eastAsia" w:ascii="宋体" w:hAnsi="宋体" w:eastAsia="宋体" w:cs="宋体"/>
          <w:b/>
          <w:bCs/>
          <w:color w:val="auto"/>
          <w:sz w:val="44"/>
          <w:szCs w:val="32"/>
          <w:highlight w:val="none"/>
        </w:rPr>
      </w:pPr>
    </w:p>
    <w:p w14:paraId="5208BA20">
      <w:pPr>
        <w:rPr>
          <w:rFonts w:hint="eastAsia" w:ascii="宋体" w:hAnsi="宋体" w:eastAsia="宋体" w:cs="宋体"/>
          <w:color w:val="auto"/>
          <w:highlight w:val="none"/>
        </w:rPr>
      </w:pPr>
    </w:p>
    <w:p w14:paraId="3FE243C7">
      <w:pPr>
        <w:pStyle w:val="25"/>
        <w:numPr>
          <w:ilvl w:val="0"/>
          <w:numId w:val="1"/>
        </w:numPr>
        <w:tabs>
          <w:tab w:val="left" w:pos="1680"/>
        </w:tabs>
        <w:spacing w:before="100" w:beforeAutospacing="1" w:after="100" w:afterAutospacing="1" w:line="440" w:lineRule="atLeast"/>
        <w:ind w:firstLine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投标须知</w:t>
      </w:r>
    </w:p>
    <w:p w14:paraId="3FF4B2E6">
      <w:pPr>
        <w:spacing w:before="100" w:beforeAutospacing="1" w:after="100" w:afterAutospacing="1" w:line="440" w:lineRule="atLeast"/>
        <w:rPr>
          <w:rFonts w:hint="eastAsia" w:ascii="宋体" w:hAnsi="宋体" w:eastAsia="宋体" w:cs="宋体"/>
          <w:bCs/>
          <w:color w:val="auto"/>
          <w:sz w:val="32"/>
          <w:szCs w:val="32"/>
          <w:highlight w:val="none"/>
        </w:rPr>
      </w:pPr>
    </w:p>
    <w:p w14:paraId="0A51469B">
      <w:pPr>
        <w:numPr>
          <w:ilvl w:val="0"/>
          <w:numId w:val="1"/>
        </w:numPr>
        <w:spacing w:before="100" w:beforeAutospacing="1" w:after="100" w:afterAutospacing="1" w:line="4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投标文件格式</w:t>
      </w:r>
    </w:p>
    <w:p w14:paraId="62A74A4B">
      <w:pPr>
        <w:spacing w:before="100" w:beforeAutospacing="1" w:after="100" w:afterAutospacing="1" w:line="440" w:lineRule="atLeast"/>
        <w:ind w:left="1290"/>
        <w:rPr>
          <w:rFonts w:hint="eastAsia" w:ascii="宋体" w:hAnsi="宋体" w:eastAsia="宋体" w:cs="宋体"/>
          <w:bCs/>
          <w:color w:val="auto"/>
          <w:sz w:val="32"/>
          <w:szCs w:val="32"/>
          <w:highlight w:val="none"/>
        </w:rPr>
      </w:pPr>
    </w:p>
    <w:p w14:paraId="484F7FBB">
      <w:pPr>
        <w:numPr>
          <w:ilvl w:val="0"/>
          <w:numId w:val="1"/>
        </w:numPr>
        <w:spacing w:before="100" w:beforeAutospacing="1" w:after="100" w:afterAutospacing="1" w:line="4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合同主要条款</w:t>
      </w:r>
    </w:p>
    <w:p w14:paraId="6F1A2FD3">
      <w:pPr>
        <w:spacing w:before="100" w:beforeAutospacing="1" w:after="100" w:afterAutospacing="1" w:line="440" w:lineRule="atLeast"/>
        <w:rPr>
          <w:rFonts w:hint="eastAsia" w:ascii="宋体" w:hAnsi="宋体" w:eastAsia="宋体" w:cs="宋体"/>
          <w:color w:val="auto"/>
          <w:sz w:val="24"/>
          <w:highlight w:val="none"/>
        </w:rPr>
      </w:pPr>
    </w:p>
    <w:p w14:paraId="2ACF2C47">
      <w:pPr>
        <w:spacing w:before="100" w:beforeAutospacing="1" w:after="100" w:afterAutospacing="1" w:line="440" w:lineRule="atLeast"/>
        <w:rPr>
          <w:rFonts w:hint="eastAsia" w:ascii="宋体" w:hAnsi="宋体" w:eastAsia="宋体" w:cs="宋体"/>
          <w:b/>
          <w:bCs/>
          <w:color w:val="auto"/>
          <w:sz w:val="32"/>
          <w:szCs w:val="32"/>
          <w:highlight w:val="none"/>
        </w:rPr>
      </w:pPr>
    </w:p>
    <w:p w14:paraId="0677DC16">
      <w:pPr>
        <w:rPr>
          <w:rFonts w:hint="eastAsia" w:ascii="宋体" w:hAnsi="宋体" w:eastAsia="宋体" w:cs="宋体"/>
          <w:color w:val="auto"/>
          <w:highlight w:val="none"/>
        </w:rPr>
      </w:pPr>
    </w:p>
    <w:p w14:paraId="30165445">
      <w:pPr>
        <w:rPr>
          <w:rFonts w:hint="eastAsia" w:ascii="宋体" w:hAnsi="宋体" w:eastAsia="宋体" w:cs="宋体"/>
          <w:color w:val="auto"/>
          <w:highlight w:val="none"/>
        </w:rPr>
      </w:pPr>
    </w:p>
    <w:p w14:paraId="08DC993E">
      <w:pPr>
        <w:rPr>
          <w:rFonts w:hint="eastAsia" w:ascii="宋体" w:hAnsi="宋体" w:eastAsia="宋体" w:cs="宋体"/>
          <w:color w:val="auto"/>
          <w:highlight w:val="none"/>
        </w:rPr>
      </w:pPr>
    </w:p>
    <w:p w14:paraId="42E46CFA">
      <w:pPr>
        <w:rPr>
          <w:rFonts w:hint="eastAsia" w:ascii="宋体" w:hAnsi="宋体" w:eastAsia="宋体" w:cs="宋体"/>
          <w:color w:val="auto"/>
          <w:highlight w:val="none"/>
        </w:rPr>
      </w:pPr>
    </w:p>
    <w:p w14:paraId="2CFE128C">
      <w:pPr>
        <w:rPr>
          <w:rFonts w:hint="eastAsia" w:ascii="宋体" w:hAnsi="宋体" w:eastAsia="宋体" w:cs="宋体"/>
          <w:color w:val="auto"/>
          <w:highlight w:val="none"/>
        </w:rPr>
      </w:pPr>
    </w:p>
    <w:p w14:paraId="2B16635E">
      <w:pPr>
        <w:rPr>
          <w:rFonts w:hint="eastAsia" w:ascii="宋体" w:hAnsi="宋体" w:eastAsia="宋体" w:cs="宋体"/>
          <w:color w:val="auto"/>
          <w:highlight w:val="none"/>
        </w:rPr>
      </w:pPr>
    </w:p>
    <w:p w14:paraId="13F00CC8">
      <w:pPr>
        <w:pStyle w:val="2"/>
        <w:rPr>
          <w:rFonts w:hint="eastAsia" w:ascii="宋体" w:hAnsi="宋体" w:eastAsia="宋体" w:cs="宋体"/>
          <w:color w:val="auto"/>
          <w:highlight w:val="none"/>
        </w:rPr>
      </w:pPr>
    </w:p>
    <w:p w14:paraId="44C60960">
      <w:pPr>
        <w:pStyle w:val="2"/>
        <w:rPr>
          <w:rFonts w:hint="eastAsia" w:ascii="宋体" w:hAnsi="宋体" w:eastAsia="宋体" w:cs="宋体"/>
          <w:color w:val="auto"/>
          <w:highlight w:val="none"/>
        </w:rPr>
      </w:pPr>
    </w:p>
    <w:p w14:paraId="10D96C0E">
      <w:pPr>
        <w:rPr>
          <w:rFonts w:hint="eastAsia" w:ascii="宋体" w:hAnsi="宋体" w:eastAsia="宋体" w:cs="宋体"/>
          <w:color w:val="auto"/>
          <w:highlight w:val="none"/>
        </w:rPr>
      </w:pPr>
    </w:p>
    <w:p w14:paraId="51B9F0A7">
      <w:pPr>
        <w:rPr>
          <w:rFonts w:hint="eastAsia" w:ascii="宋体" w:hAnsi="宋体" w:eastAsia="宋体" w:cs="宋体"/>
          <w:color w:val="auto"/>
          <w:highlight w:val="none"/>
        </w:rPr>
      </w:pPr>
    </w:p>
    <w:p w14:paraId="2D865D70">
      <w:pPr>
        <w:pStyle w:val="2"/>
        <w:numPr>
          <w:ilvl w:val="0"/>
          <w:numId w:val="2"/>
        </w:numPr>
        <w:jc w:val="center"/>
        <w:rPr>
          <w:rFonts w:hint="eastAsia" w:ascii="宋体" w:hAnsi="宋体" w:eastAsia="宋体" w:cs="宋体"/>
          <w:color w:val="auto"/>
          <w:highlight w:val="none"/>
        </w:rPr>
      </w:pPr>
      <w:bookmarkStart w:id="1" w:name="_Toc216059986"/>
      <w:r>
        <w:rPr>
          <w:rFonts w:hint="eastAsia" w:ascii="宋体" w:hAnsi="宋体" w:eastAsia="宋体" w:cs="宋体"/>
          <w:b w:val="0"/>
          <w:color w:val="auto"/>
          <w:highlight w:val="none"/>
        </w:rPr>
        <w:t>投标须知</w:t>
      </w:r>
      <w:bookmarkEnd w:id="1"/>
    </w:p>
    <w:p w14:paraId="33DE04E8">
      <w:pPr>
        <w:rPr>
          <w:rFonts w:hint="eastAsia" w:ascii="宋体" w:hAnsi="宋体" w:eastAsia="宋体" w:cs="宋体"/>
          <w:color w:val="auto"/>
          <w:highlight w:val="none"/>
        </w:rPr>
      </w:pPr>
    </w:p>
    <w:p w14:paraId="3C1450AF">
      <w:pPr>
        <w:pStyle w:val="3"/>
        <w:numPr>
          <w:ilvl w:val="0"/>
          <w:numId w:val="3"/>
        </w:numPr>
        <w:bidi w:val="0"/>
        <w:rPr>
          <w:rFonts w:hint="eastAsia"/>
        </w:rPr>
      </w:pPr>
      <w:r>
        <w:rPr>
          <w:rFonts w:hint="eastAsia"/>
        </w:rPr>
        <w:t>前附表</w:t>
      </w:r>
    </w:p>
    <w:p w14:paraId="60E809C3">
      <w:pPr>
        <w:rPr>
          <w:rFonts w:hint="eastAsia"/>
        </w:rPr>
      </w:pPr>
    </w:p>
    <w:tbl>
      <w:tblPr>
        <w:tblStyle w:val="16"/>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0"/>
        <w:gridCol w:w="6034"/>
      </w:tblGrid>
      <w:tr w14:paraId="4CE88F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95C9B6C">
            <w:pPr>
              <w:tabs>
                <w:tab w:val="left" w:pos="3203"/>
                <w:tab w:val="center" w:pos="4350"/>
              </w:tabs>
              <w:spacing w:line="400" w:lineRule="exact"/>
              <w:ind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项号</w:t>
            </w:r>
          </w:p>
        </w:tc>
        <w:tc>
          <w:tcPr>
            <w:tcW w:w="1580" w:type="dxa"/>
            <w:vAlign w:val="center"/>
          </w:tcPr>
          <w:p w14:paraId="7E7E4533">
            <w:pPr>
              <w:tabs>
                <w:tab w:val="left" w:pos="3203"/>
                <w:tab w:val="center" w:pos="4350"/>
              </w:tabs>
              <w:spacing w:line="400" w:lineRule="exact"/>
              <w:ind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内   容</w:t>
            </w:r>
          </w:p>
        </w:tc>
        <w:tc>
          <w:tcPr>
            <w:tcW w:w="6034" w:type="dxa"/>
            <w:vAlign w:val="center"/>
          </w:tcPr>
          <w:p w14:paraId="0B64F917">
            <w:pPr>
              <w:tabs>
                <w:tab w:val="left" w:pos="3203"/>
                <w:tab w:val="center" w:pos="4350"/>
              </w:tabs>
              <w:spacing w:line="400" w:lineRule="exact"/>
              <w:ind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说 明 与 要 求</w:t>
            </w:r>
          </w:p>
        </w:tc>
      </w:tr>
      <w:tr w14:paraId="1F827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05362F13">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0" w:type="dxa"/>
            <w:vAlign w:val="center"/>
          </w:tcPr>
          <w:p w14:paraId="64EE31CC">
            <w:pPr>
              <w:tabs>
                <w:tab w:val="left" w:pos="3203"/>
                <w:tab w:val="center" w:pos="4350"/>
              </w:tabs>
              <w:spacing w:line="400" w:lineRule="exact"/>
              <w:ind w:right="31"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招标单位</w:t>
            </w:r>
          </w:p>
        </w:tc>
        <w:tc>
          <w:tcPr>
            <w:tcW w:w="6034" w:type="dxa"/>
            <w:vAlign w:val="top"/>
          </w:tcPr>
          <w:p w14:paraId="37B5BEDE">
            <w:pPr>
              <w:spacing w:line="400" w:lineRule="exact"/>
              <w:ind w:right="15"/>
              <w:jc w:val="center"/>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广西京兰水泥有限公司</w:t>
            </w:r>
          </w:p>
        </w:tc>
      </w:tr>
      <w:tr w14:paraId="3840A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49675C30">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580" w:type="dxa"/>
            <w:vAlign w:val="center"/>
          </w:tcPr>
          <w:p w14:paraId="0FC0880A">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034" w:type="dxa"/>
            <w:vAlign w:val="top"/>
          </w:tcPr>
          <w:p w14:paraId="48183CD4">
            <w:pPr>
              <w:spacing w:line="400" w:lineRule="exact"/>
              <w:ind w:right="15"/>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2025-2026京兰水泥武宣至广东船舶运输服务项目</w:t>
            </w:r>
          </w:p>
        </w:tc>
      </w:tr>
      <w:tr w14:paraId="659B7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72F06A0">
            <w:pPr>
              <w:tabs>
                <w:tab w:val="left" w:pos="3203"/>
                <w:tab w:val="center" w:pos="4350"/>
              </w:tabs>
              <w:spacing w:line="400" w:lineRule="exact"/>
              <w:ind w:right="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p>
        </w:tc>
        <w:tc>
          <w:tcPr>
            <w:tcW w:w="1580" w:type="dxa"/>
            <w:vAlign w:val="center"/>
          </w:tcPr>
          <w:p w14:paraId="51345AAE">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034" w:type="dxa"/>
            <w:vAlign w:val="center"/>
          </w:tcPr>
          <w:p w14:paraId="33C348A8">
            <w:pPr>
              <w:spacing w:line="400" w:lineRule="exact"/>
              <w:ind w:right="1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提供从</w:t>
            </w:r>
            <w:r>
              <w:rPr>
                <w:rFonts w:hint="eastAsia" w:ascii="宋体" w:hAnsi="宋体" w:eastAsia="宋体" w:cs="宋体"/>
                <w:color w:val="auto"/>
                <w:spacing w:val="10"/>
                <w:sz w:val="21"/>
                <w:szCs w:val="21"/>
                <w:highlight w:val="none"/>
                <w:lang w:val="en-US" w:eastAsia="zh-CN"/>
              </w:rPr>
              <w:t>武宣</w:t>
            </w:r>
            <w:r>
              <w:rPr>
                <w:rFonts w:hint="eastAsia" w:ascii="宋体" w:hAnsi="宋体" w:eastAsia="宋体" w:cs="宋体"/>
                <w:color w:val="auto"/>
                <w:spacing w:val="10"/>
                <w:sz w:val="21"/>
                <w:szCs w:val="21"/>
                <w:highlight w:val="none"/>
              </w:rPr>
              <w:t>至</w:t>
            </w:r>
            <w:r>
              <w:rPr>
                <w:rFonts w:hint="eastAsia" w:ascii="宋体" w:hAnsi="宋体" w:eastAsia="宋体" w:cs="宋体"/>
                <w:color w:val="auto"/>
                <w:spacing w:val="10"/>
                <w:sz w:val="21"/>
                <w:szCs w:val="21"/>
                <w:highlight w:val="none"/>
                <w:lang w:val="en-US" w:eastAsia="zh-CN"/>
              </w:rPr>
              <w:t>广东水泥</w:t>
            </w:r>
            <w:r>
              <w:rPr>
                <w:rFonts w:hint="eastAsia" w:ascii="宋体" w:hAnsi="宋体" w:eastAsia="宋体" w:cs="宋体"/>
                <w:color w:val="auto"/>
                <w:spacing w:val="10"/>
                <w:sz w:val="21"/>
                <w:szCs w:val="21"/>
                <w:highlight w:val="none"/>
              </w:rPr>
              <w:t>船舶运输服务</w:t>
            </w:r>
          </w:p>
        </w:tc>
      </w:tr>
      <w:tr w14:paraId="06A75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82B403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80" w:type="dxa"/>
            <w:vAlign w:val="center"/>
          </w:tcPr>
          <w:p w14:paraId="4E50E3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招投标时间表</w:t>
            </w:r>
          </w:p>
        </w:tc>
        <w:tc>
          <w:tcPr>
            <w:tcW w:w="6034" w:type="dxa"/>
          </w:tcPr>
          <w:tbl>
            <w:tblPr>
              <w:tblStyle w:val="16"/>
              <w:tblpPr w:leftFromText="180" w:rightFromText="180" w:vertAnchor="text" w:horzAnchor="margin" w:tblpX="-112" w:tblpY="-173"/>
              <w:tblOverlap w:val="never"/>
              <w:tblW w:w="5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280"/>
            </w:tblGrid>
            <w:tr w14:paraId="41C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tcBorders>
                </w:tcPr>
                <w:p w14:paraId="1303EC4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tc>
              <w:tc>
                <w:tcPr>
                  <w:tcW w:w="5280" w:type="dxa"/>
                  <w:tcBorders>
                    <w:top w:val="nil"/>
                    <w:right w:val="nil"/>
                  </w:tcBorders>
                </w:tcPr>
                <w:p w14:paraId="339244F4">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w:t>
                  </w:r>
                </w:p>
              </w:tc>
            </w:tr>
            <w:tr w14:paraId="441D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left w:val="nil"/>
                    <w:bottom w:val="nil"/>
                  </w:tcBorders>
                </w:tcPr>
                <w:p w14:paraId="00984A41">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w:t>
                  </w:r>
                </w:p>
              </w:tc>
              <w:tc>
                <w:tcPr>
                  <w:tcW w:w="5280" w:type="dxa"/>
                  <w:tcBorders>
                    <w:bottom w:val="nil"/>
                    <w:right w:val="nil"/>
                  </w:tcBorders>
                </w:tcPr>
                <w:p w14:paraId="7F054828">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开始</w:t>
                  </w:r>
                  <w:r>
                    <w:rPr>
                      <w:rFonts w:hint="eastAsia" w:ascii="宋体" w:hAnsi="宋体" w:eastAsia="宋体" w:cs="宋体"/>
                      <w:color w:val="auto"/>
                      <w:sz w:val="21"/>
                      <w:szCs w:val="21"/>
                      <w:highlight w:val="none"/>
                    </w:rPr>
                    <w:t>日期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w:t>
                  </w:r>
                </w:p>
              </w:tc>
            </w:tr>
          </w:tbl>
          <w:p w14:paraId="40656F16">
            <w:pPr>
              <w:rPr>
                <w:rFonts w:hint="eastAsia" w:ascii="宋体" w:hAnsi="宋体" w:eastAsia="宋体" w:cs="宋体"/>
                <w:color w:val="auto"/>
                <w:sz w:val="21"/>
                <w:szCs w:val="21"/>
                <w:highlight w:val="none"/>
              </w:rPr>
            </w:pPr>
          </w:p>
        </w:tc>
      </w:tr>
      <w:tr w14:paraId="5641A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6AFE962B">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80" w:type="dxa"/>
            <w:vAlign w:val="center"/>
          </w:tcPr>
          <w:p w14:paraId="5630278C">
            <w:pPr>
              <w:tabs>
                <w:tab w:val="left" w:pos="3203"/>
                <w:tab w:val="center" w:pos="4350"/>
              </w:tabs>
              <w:spacing w:line="400" w:lineRule="exact"/>
              <w:ind w:right="31"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6034" w:type="dxa"/>
            <w:vAlign w:val="center"/>
          </w:tcPr>
          <w:p w14:paraId="3988DC2A">
            <w:pPr>
              <w:tabs>
                <w:tab w:val="left" w:pos="3203"/>
                <w:tab w:val="center" w:pos="4350"/>
              </w:tabs>
              <w:spacing w:line="400" w:lineRule="exact"/>
              <w:ind w:right="31" w:right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具有独立法人资格的经营单位</w:t>
            </w:r>
          </w:p>
        </w:tc>
      </w:tr>
      <w:tr w14:paraId="69A31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vAlign w:val="center"/>
          </w:tcPr>
          <w:p w14:paraId="24BBB824">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580" w:type="dxa"/>
            <w:vAlign w:val="center"/>
          </w:tcPr>
          <w:p w14:paraId="16DD9C1F">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034" w:type="dxa"/>
            <w:vAlign w:val="center"/>
          </w:tcPr>
          <w:p w14:paraId="6EDE2F2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含税</w:t>
            </w:r>
            <w:r>
              <w:rPr>
                <w:rFonts w:hint="eastAsia" w:ascii="宋体" w:hAnsi="宋体" w:eastAsia="宋体" w:cs="宋体"/>
                <w:b w:val="0"/>
                <w:bCs w:val="0"/>
                <w:color w:val="auto"/>
                <w:sz w:val="21"/>
                <w:szCs w:val="21"/>
                <w:highlight w:val="none"/>
                <w:lang w:val="en-US" w:eastAsia="zh-CN"/>
              </w:rPr>
              <w:t>船运</w:t>
            </w:r>
            <w:r>
              <w:rPr>
                <w:rFonts w:hint="eastAsia" w:ascii="宋体" w:hAnsi="宋体" w:eastAsia="宋体" w:cs="宋体"/>
                <w:color w:val="auto"/>
                <w:sz w:val="21"/>
                <w:szCs w:val="21"/>
                <w:highlight w:val="none"/>
              </w:rPr>
              <w:t>单价并写明税率</w:t>
            </w:r>
          </w:p>
        </w:tc>
      </w:tr>
      <w:tr w14:paraId="15F05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3902DC83">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80" w:type="dxa"/>
            <w:vAlign w:val="center"/>
          </w:tcPr>
          <w:p w14:paraId="0F47A29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034" w:type="dxa"/>
            <w:vAlign w:val="center"/>
          </w:tcPr>
          <w:p w14:paraId="24E7DE5E">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正本一份副本三份</w:t>
            </w:r>
          </w:p>
        </w:tc>
      </w:tr>
      <w:tr w14:paraId="7FA78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trPr>
        <w:tc>
          <w:tcPr>
            <w:tcW w:w="696" w:type="dxa"/>
            <w:vAlign w:val="center"/>
          </w:tcPr>
          <w:p w14:paraId="33E351C0">
            <w:pPr>
              <w:tabs>
                <w:tab w:val="left" w:pos="3203"/>
                <w:tab w:val="center" w:pos="4350"/>
              </w:tabs>
              <w:spacing w:line="400" w:lineRule="exact"/>
              <w:ind w:right="3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80" w:type="dxa"/>
            <w:vAlign w:val="center"/>
          </w:tcPr>
          <w:p w14:paraId="6745A6F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034" w:type="dxa"/>
            <w:vAlign w:val="center"/>
          </w:tcPr>
          <w:p w14:paraId="6EDB30EF">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1、所有投标文件都必须附有投标保证金，金额为</w:t>
            </w:r>
            <w:r>
              <w:rPr>
                <w:rFonts w:hint="eastAsia" w:ascii="宋体" w:hAnsi="宋体" w:eastAsia="宋体" w:cs="宋体"/>
                <w:b w:val="0"/>
                <w:bCs w:val="0"/>
                <w:color w:val="auto"/>
                <w:sz w:val="21"/>
                <w:szCs w:val="21"/>
                <w:highlight w:val="none"/>
                <w:lang w:val="en-US" w:eastAsia="zh-CN"/>
              </w:rPr>
              <w:t>100000.00</w:t>
            </w:r>
            <w:r>
              <w:rPr>
                <w:rFonts w:hint="eastAsia" w:ascii="宋体" w:hAnsi="宋体" w:eastAsia="宋体" w:cs="宋体"/>
                <w:color w:val="auto"/>
                <w:sz w:val="21"/>
                <w:szCs w:val="21"/>
                <w:highlight w:val="none"/>
              </w:rPr>
              <w:t>元人民币。未按规定提供投标保证金的投标文件将被拒绝。投标保证金以银行转账缴纳。广西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水泥有限公司无息向未中标的投标方返还投标保证金。中标单位的投标保证金自动转为合同履约保证金。</w:t>
            </w:r>
          </w:p>
          <w:p w14:paraId="2B083D2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2、招标方只接受银行转账的投标保证金，投标保证金请银行转账</w:t>
            </w:r>
            <w:r>
              <w:rPr>
                <w:rFonts w:hint="eastAsia" w:hAnsi="宋体" w:cs="宋体"/>
                <w:color w:val="auto"/>
                <w:sz w:val="21"/>
                <w:szCs w:val="21"/>
                <w:highlight w:val="none"/>
                <w:lang w:val="en-US" w:eastAsia="zh-CN"/>
              </w:rPr>
              <w:t>至</w:t>
            </w:r>
            <w:r>
              <w:rPr>
                <w:rFonts w:hint="eastAsia" w:hAnsi="宋体" w:cs="宋体"/>
                <w:color w:val="auto"/>
                <w:sz w:val="21"/>
                <w:szCs w:val="21"/>
                <w:highlight w:val="none"/>
                <w:lang w:eastAsia="zh-CN"/>
              </w:rPr>
              <w:t>以下账号</w:t>
            </w:r>
            <w:r>
              <w:rPr>
                <w:rFonts w:hint="eastAsia" w:ascii="宋体" w:hAnsi="宋体" w:eastAsia="宋体" w:cs="宋体"/>
                <w:color w:val="auto"/>
                <w:sz w:val="21"/>
                <w:szCs w:val="21"/>
                <w:highlight w:val="none"/>
              </w:rPr>
              <w:t>：</w:t>
            </w:r>
          </w:p>
          <w:p w14:paraId="2D0BB82F">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 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p>
          <w:p w14:paraId="3576CF6E">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开户银行：农业银行武宣县支行</w:t>
            </w:r>
          </w:p>
          <w:p w14:paraId="08F2106C">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账号：20145101040017537</w:t>
            </w:r>
          </w:p>
          <w:p w14:paraId="5CC86C85">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银行转账成功后，请将凭证单发给广西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p>
        </w:tc>
      </w:tr>
      <w:tr w14:paraId="2601B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696" w:type="dxa"/>
            <w:vAlign w:val="center"/>
          </w:tcPr>
          <w:p w14:paraId="4D541BFC">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80" w:type="dxa"/>
            <w:vAlign w:val="center"/>
          </w:tcPr>
          <w:p w14:paraId="120406EF">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保证金退还</w:t>
            </w:r>
          </w:p>
          <w:p w14:paraId="131F28DC">
            <w:pPr>
              <w:tabs>
                <w:tab w:val="left" w:pos="3203"/>
                <w:tab w:val="center" w:pos="4350"/>
              </w:tabs>
              <w:spacing w:line="400" w:lineRule="exact"/>
              <w:ind w:right="31"/>
              <w:rPr>
                <w:rFonts w:hint="eastAsia" w:ascii="宋体" w:hAnsi="宋体" w:eastAsia="宋体" w:cs="宋体"/>
                <w:color w:val="auto"/>
                <w:sz w:val="21"/>
                <w:szCs w:val="21"/>
                <w:highlight w:val="none"/>
              </w:rPr>
            </w:pPr>
          </w:p>
        </w:tc>
        <w:tc>
          <w:tcPr>
            <w:tcW w:w="6034" w:type="dxa"/>
            <w:vAlign w:val="center"/>
          </w:tcPr>
          <w:p w14:paraId="4338E350">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未中标人的投标保证金将于招标结果公布后30个工作日内原额退还给投标人，不计利息；</w:t>
            </w:r>
          </w:p>
          <w:p w14:paraId="17679B6A">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中标人未能在规定的时间内签署合同，投标保证金将被没收。</w:t>
            </w:r>
          </w:p>
          <w:p w14:paraId="33A4B8F0">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中标人完成与招标人的合同签署后，投标保证金自动转为合同履约保证金，合同期满后30个工作日内退还，不计利息。若因中标单</w:t>
            </w:r>
            <w:r>
              <w:rPr>
                <w:rFonts w:hint="eastAsia" w:hAnsi="宋体" w:cs="宋体"/>
                <w:color w:val="auto"/>
                <w:sz w:val="21"/>
                <w:szCs w:val="21"/>
                <w:highlight w:val="none"/>
                <w:lang w:eastAsia="zh-CN"/>
              </w:rPr>
              <w:t>位各</w:t>
            </w:r>
            <w:r>
              <w:rPr>
                <w:rFonts w:hint="eastAsia" w:ascii="宋体" w:hAnsi="宋体" w:eastAsia="宋体" w:cs="宋体"/>
                <w:color w:val="auto"/>
                <w:sz w:val="21"/>
                <w:szCs w:val="21"/>
                <w:highlight w:val="none"/>
              </w:rPr>
              <w:t>方面原因，在合同期内违反合同条约而造成招标人相关基地公司的部分或全部损失，将从保证金中予以补偿。</w:t>
            </w:r>
          </w:p>
        </w:tc>
      </w:tr>
      <w:tr w14:paraId="2EA8D1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1237671C">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项号</w:t>
            </w:r>
          </w:p>
        </w:tc>
        <w:tc>
          <w:tcPr>
            <w:tcW w:w="1580" w:type="dxa"/>
            <w:vAlign w:val="center"/>
          </w:tcPr>
          <w:p w14:paraId="23973B2F">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内   容</w:t>
            </w:r>
          </w:p>
        </w:tc>
        <w:tc>
          <w:tcPr>
            <w:tcW w:w="6034" w:type="dxa"/>
            <w:vAlign w:val="center"/>
          </w:tcPr>
          <w:p w14:paraId="01032A25">
            <w:pPr>
              <w:tabs>
                <w:tab w:val="left" w:pos="3203"/>
                <w:tab w:val="center" w:pos="4350"/>
              </w:tabs>
              <w:spacing w:line="400" w:lineRule="exact"/>
              <w:ind w:right="31"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说 明 与 要 求</w:t>
            </w:r>
          </w:p>
        </w:tc>
      </w:tr>
      <w:tr w14:paraId="15DD83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5FFCEB8A">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80" w:type="dxa"/>
            <w:vAlign w:val="center"/>
          </w:tcPr>
          <w:p w14:paraId="26CB01C1">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保证金不予退还</w:t>
            </w:r>
            <w:r>
              <w:rPr>
                <w:rFonts w:hint="eastAsia"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情形：</w:t>
            </w:r>
          </w:p>
          <w:p w14:paraId="7616CC74">
            <w:pPr>
              <w:tabs>
                <w:tab w:val="left" w:pos="3203"/>
                <w:tab w:val="center" w:pos="4350"/>
              </w:tabs>
              <w:spacing w:line="400" w:lineRule="exact"/>
              <w:ind w:right="31"/>
              <w:rPr>
                <w:rFonts w:hint="eastAsia" w:ascii="宋体" w:hAnsi="宋体" w:eastAsia="宋体" w:cs="宋体"/>
                <w:color w:val="auto"/>
                <w:sz w:val="21"/>
                <w:szCs w:val="21"/>
                <w:highlight w:val="none"/>
              </w:rPr>
            </w:pPr>
          </w:p>
        </w:tc>
        <w:tc>
          <w:tcPr>
            <w:tcW w:w="6034" w:type="dxa"/>
            <w:vAlign w:val="center"/>
          </w:tcPr>
          <w:p w14:paraId="3163085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下列任何情况发生，投标保证金将被没收：</w:t>
            </w:r>
          </w:p>
          <w:p w14:paraId="579394B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除不可抗力外，在投标有效期内，投标人擅自撤回投标的；</w:t>
            </w:r>
          </w:p>
          <w:p w14:paraId="22718981">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投标人中标且中标通知书发出后放弃中标的；</w:t>
            </w:r>
          </w:p>
          <w:p w14:paraId="6490530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中标通知书发出后，中标人无正当理由未在规定期限内与招标人签订合同的；</w:t>
            </w:r>
          </w:p>
          <w:p w14:paraId="49152BF2">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以他人名义投标或者以其他方式弄虚作假，骗取中标的；</w:t>
            </w:r>
          </w:p>
        </w:tc>
      </w:tr>
      <w:tr w14:paraId="7AE9E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96" w:type="dxa"/>
            <w:vAlign w:val="center"/>
          </w:tcPr>
          <w:p w14:paraId="07A64B70">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80" w:type="dxa"/>
            <w:vAlign w:val="center"/>
          </w:tcPr>
          <w:p w14:paraId="26BDB7E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034" w:type="dxa"/>
            <w:vAlign w:val="center"/>
          </w:tcPr>
          <w:p w14:paraId="3E35B687">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w:t>
            </w:r>
          </w:p>
        </w:tc>
      </w:tr>
      <w:tr w14:paraId="46189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6" w:type="dxa"/>
            <w:vAlign w:val="center"/>
          </w:tcPr>
          <w:p w14:paraId="12945F04">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80" w:type="dxa"/>
            <w:vAlign w:val="center"/>
          </w:tcPr>
          <w:p w14:paraId="60F391FC">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开标地点及方式</w:t>
            </w:r>
          </w:p>
        </w:tc>
        <w:tc>
          <w:tcPr>
            <w:tcW w:w="6034" w:type="dxa"/>
            <w:vAlign w:val="center"/>
          </w:tcPr>
          <w:p w14:paraId="03E65665">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广西来宾市武宣县金鸡乡赖山村广西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r>
              <w:rPr>
                <w:rFonts w:hint="eastAsia" w:ascii="宋体" w:hAnsi="宋体" w:eastAsia="宋体" w:cs="宋体"/>
                <w:color w:val="auto"/>
                <w:sz w:val="21"/>
                <w:szCs w:val="21"/>
                <w:highlight w:val="none"/>
                <w:lang w:eastAsia="zh-CN"/>
              </w:rPr>
              <w:t>办公楼</w:t>
            </w:r>
            <w:r>
              <w:rPr>
                <w:rFonts w:hint="eastAsia" w:ascii="宋体" w:hAnsi="宋体" w:eastAsia="宋体" w:cs="宋体"/>
                <w:color w:val="auto"/>
                <w:sz w:val="21"/>
                <w:szCs w:val="21"/>
                <w:highlight w:val="none"/>
              </w:rPr>
              <w:t>会议室。现场投标、开标、议标。建议投标单位带上公章以便现场签署相关文件。</w:t>
            </w:r>
          </w:p>
        </w:tc>
      </w:tr>
      <w:tr w14:paraId="0BDC8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57A1896">
            <w:pPr>
              <w:tabs>
                <w:tab w:val="left" w:pos="3203"/>
                <w:tab w:val="center" w:pos="4350"/>
              </w:tabs>
              <w:spacing w:line="400" w:lineRule="exact"/>
              <w:ind w:right="3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614" w:type="dxa"/>
            <w:gridSpan w:val="2"/>
            <w:vAlign w:val="center"/>
          </w:tcPr>
          <w:p w14:paraId="1696A7F9">
            <w:pPr>
              <w:spacing w:line="400" w:lineRule="exact"/>
              <w:ind w:right="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上述时间、地点如有变动，以招标单位届时通知为准。</w:t>
            </w:r>
          </w:p>
          <w:p w14:paraId="054BD80E">
            <w:pPr>
              <w:spacing w:line="400" w:lineRule="exact"/>
              <w:ind w:right="15"/>
              <w:rPr>
                <w:rFonts w:hint="eastAsia" w:ascii="宋体" w:hAnsi="宋体" w:eastAsia="宋体" w:cs="宋体"/>
                <w:color w:val="auto"/>
                <w:sz w:val="21"/>
                <w:szCs w:val="21"/>
                <w:highlight w:val="none"/>
              </w:rPr>
            </w:pPr>
            <w:r>
              <w:rPr>
                <w:rFonts w:hint="eastAsia" w:ascii="宋体" w:hAnsi="Tms Rmn" w:eastAsia="宋体" w:cs="Times New Roman"/>
                <w:b w:val="0"/>
                <w:bCs w:val="0"/>
                <w:kern w:val="0"/>
                <w:sz w:val="21"/>
                <w:szCs w:val="21"/>
                <w:lang w:val="en-US" w:eastAsia="zh-CN" w:bidi="ar-SA"/>
              </w:rPr>
              <w:t>招标联系人：张经理</w:t>
            </w:r>
            <w:r>
              <w:rPr>
                <w:rFonts w:hint="eastAsia" w:cs="Times New Roman"/>
                <w:b w:val="0"/>
                <w:bCs w:val="0"/>
                <w:kern w:val="0"/>
                <w:sz w:val="21"/>
                <w:szCs w:val="21"/>
                <w:lang w:val="en-US" w:eastAsia="zh-CN" w:bidi="ar-SA"/>
              </w:rPr>
              <w:t>（电话：183 7820 2228）</w:t>
            </w:r>
          </w:p>
        </w:tc>
      </w:tr>
    </w:tbl>
    <w:p w14:paraId="2ED1DC75">
      <w:pPr>
        <w:rPr>
          <w:rFonts w:hint="eastAsia" w:ascii="宋体" w:hAnsi="宋体" w:eastAsia="宋体" w:cs="宋体"/>
          <w:color w:val="auto"/>
          <w:highlight w:val="none"/>
        </w:rPr>
      </w:pPr>
      <w:bookmarkStart w:id="2" w:name="_Toc216059988"/>
    </w:p>
    <w:p w14:paraId="23A9567D">
      <w:pPr>
        <w:pStyle w:val="3"/>
        <w:numPr>
          <w:ilvl w:val="0"/>
          <w:numId w:val="4"/>
        </w:numPr>
        <w:bidi w:val="0"/>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概述</w:t>
      </w:r>
      <w:bookmarkEnd w:id="2"/>
    </w:p>
    <w:p w14:paraId="2D820CE9">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合同期限：</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p>
    <w:p w14:paraId="2F0623F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招标方式：采用邀请招标方式。</w:t>
      </w:r>
    </w:p>
    <w:p w14:paraId="23CC1D85">
      <w:pPr>
        <w:tabs>
          <w:tab w:val="left" w:pos="3203"/>
          <w:tab w:val="center" w:pos="4350"/>
        </w:tabs>
        <w:spacing w:line="400" w:lineRule="exact"/>
        <w:ind w:right="31"/>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招标原则：遵循公开、公平、公正、科学、择优的原则，综合评定。</w:t>
      </w:r>
    </w:p>
    <w:p w14:paraId="53D55D53">
      <w:pPr>
        <w:pStyle w:val="3"/>
        <w:bidi w:val="0"/>
        <w:rPr>
          <w:rStyle w:val="20"/>
          <w:rFonts w:hint="eastAsia" w:ascii="宋体" w:hAnsi="宋体" w:eastAsia="宋体" w:cs="宋体"/>
          <w:b/>
          <w:bCs/>
          <w:color w:val="auto"/>
          <w:highlight w:val="none"/>
        </w:rPr>
      </w:pPr>
      <w:bookmarkStart w:id="3" w:name="_Toc216059991"/>
      <w:r>
        <w:rPr>
          <w:rStyle w:val="20"/>
          <w:rFonts w:hint="eastAsia" w:ascii="宋体" w:hAnsi="宋体" w:eastAsia="宋体" w:cs="宋体"/>
          <w:b/>
          <w:bCs/>
          <w:color w:val="auto"/>
          <w:highlight w:val="none"/>
          <w:lang w:val="en-US" w:eastAsia="zh-CN"/>
        </w:rPr>
        <w:t xml:space="preserve">3  </w:t>
      </w:r>
      <w:r>
        <w:rPr>
          <w:rStyle w:val="20"/>
          <w:rFonts w:hint="eastAsia" w:ascii="宋体" w:hAnsi="宋体" w:eastAsia="宋体" w:cs="宋体"/>
          <w:b/>
          <w:bCs/>
          <w:color w:val="auto"/>
          <w:highlight w:val="none"/>
        </w:rPr>
        <w:t>资格要求</w:t>
      </w:r>
      <w:bookmarkEnd w:id="3"/>
    </w:p>
    <w:p w14:paraId="37658D95">
      <w:pPr>
        <w:keepNext w:val="0"/>
        <w:keepLines w:val="0"/>
        <w:pageBreakBefore w:val="0"/>
        <w:numPr>
          <w:ilvl w:val="1"/>
          <w:numId w:val="5"/>
        </w:numPr>
        <w:kinsoku/>
        <w:wordWrap/>
        <w:overflowPunct/>
        <w:topLinePunct w:val="0"/>
        <w:autoSpaceDE w:val="0"/>
        <w:autoSpaceDN w:val="0"/>
        <w:bidi w:val="0"/>
        <w:adjustRightInd w:val="0"/>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投标人的资格要求</w:t>
      </w:r>
    </w:p>
    <w:p w14:paraId="7D6958FB">
      <w:pPr>
        <w:pStyle w:val="15"/>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bookmarkStart w:id="4" w:name="OLE_LINK3"/>
      <w:r>
        <w:rPr>
          <w:rFonts w:hint="eastAsia" w:ascii="宋体" w:hAnsi="宋体" w:eastAsia="宋体" w:cs="宋体"/>
          <w:color w:val="auto"/>
          <w:kern w:val="0"/>
          <w:sz w:val="21"/>
          <w:szCs w:val="21"/>
          <w:highlight w:val="none"/>
          <w:lang w:val="en-US" w:eastAsia="zh-CN" w:bidi="ar-SA"/>
        </w:rPr>
        <w:t>3.1.1</w:t>
      </w:r>
      <w:bookmarkEnd w:id="4"/>
      <w:r>
        <w:rPr>
          <w:rFonts w:hint="eastAsia" w:ascii="宋体" w:hAnsi="宋体" w:eastAsia="宋体" w:cs="宋体"/>
          <w:color w:val="auto"/>
          <w:kern w:val="0"/>
          <w:sz w:val="21"/>
          <w:szCs w:val="21"/>
          <w:highlight w:val="none"/>
          <w:lang w:val="en-US" w:eastAsia="zh-CN" w:bidi="ar-SA"/>
        </w:rPr>
        <w:t xml:space="preserve"> 具有合法、有效的《企业法人营业执照》《税务登记证》《机构代码证》（“三证合一”的企业只需提供带有统一社会信用代码的《营业执照》）和《开户许可证》。</w:t>
      </w:r>
    </w:p>
    <w:p w14:paraId="2594638D">
      <w:pPr>
        <w:pStyle w:val="15"/>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 具有一般纳税人资格，能开具合法有效的增值税专用发票。</w:t>
      </w:r>
    </w:p>
    <w:p w14:paraId="51A36BF8">
      <w:pPr>
        <w:pStyle w:val="15"/>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3.1.3 具有良好信用。</w:t>
      </w:r>
    </w:p>
    <w:p w14:paraId="7F9445DB">
      <w:pPr>
        <w:keepNext w:val="0"/>
        <w:keepLines w:val="0"/>
        <w:pageBreakBefore w:val="0"/>
        <w:kinsoku/>
        <w:wordWrap/>
        <w:overflowPunct/>
        <w:topLinePunct w:val="0"/>
        <w:autoSpaceDE w:val="0"/>
        <w:autoSpaceDN w:val="0"/>
        <w:bidi w:val="0"/>
        <w:adjustRightInd w:val="0"/>
        <w:spacing w:line="400" w:lineRule="exact"/>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3.2</w:t>
      </w:r>
      <w:r>
        <w:rPr>
          <w:rFonts w:hint="eastAsia"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投标人承运能力要求</w:t>
      </w:r>
    </w:p>
    <w:p w14:paraId="1E9EB0CE">
      <w:pPr>
        <w:pStyle w:val="15"/>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3.2.1 具有履行合同所必需的运输工具或有合作船舶运载能力，提供船舶必须具有西江运载经验。</w:t>
      </w:r>
    </w:p>
    <w:p w14:paraId="212B1B75">
      <w:pPr>
        <w:pStyle w:val="15"/>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3.2.2 投标人需承诺单向（下航）周承运能力大于1.2万吨/周。</w:t>
      </w:r>
    </w:p>
    <w:p w14:paraId="491FFC0D">
      <w:pPr>
        <w:pStyle w:val="3"/>
        <w:numPr>
          <w:ilvl w:val="0"/>
          <w:numId w:val="5"/>
        </w:numPr>
        <w:bidi w:val="0"/>
        <w:rPr>
          <w:rFonts w:hint="eastAsia"/>
        </w:rPr>
      </w:pPr>
      <w:r>
        <w:rPr>
          <w:rFonts w:hint="eastAsia"/>
        </w:rPr>
        <w:t>招标文件</w:t>
      </w:r>
    </w:p>
    <w:p w14:paraId="530C7892">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本招标文件包括下列文件及招标文件的解释、澄清、修改、标前会议记录及其所附带的技术文件材料。</w:t>
      </w:r>
    </w:p>
    <w:p w14:paraId="4D6DD118">
      <w:pPr>
        <w:tabs>
          <w:tab w:val="left" w:pos="3203"/>
          <w:tab w:val="center" w:pos="4350"/>
        </w:tabs>
        <w:spacing w:line="400" w:lineRule="exact"/>
        <w:ind w:right="31"/>
        <w:rPr>
          <w:rFonts w:hint="eastAsia" w:ascii="宋体" w:hAnsi="宋体" w:eastAsia="宋体" w:cs="宋体"/>
          <w:color w:val="auto"/>
          <w:sz w:val="21"/>
          <w:szCs w:val="21"/>
          <w:highlight w:val="none"/>
        </w:rPr>
      </w:pPr>
      <w:bookmarkStart w:id="5" w:name="_Toc78161822"/>
      <w:r>
        <w:rPr>
          <w:rFonts w:hint="eastAsia" w:ascii="宋体" w:hAnsi="宋体" w:eastAsia="宋体" w:cs="宋体"/>
          <w:color w:val="auto"/>
          <w:sz w:val="21"/>
          <w:szCs w:val="21"/>
          <w:highlight w:val="none"/>
        </w:rPr>
        <w:t>第一章：投标须知</w:t>
      </w:r>
      <w:bookmarkEnd w:id="5"/>
    </w:p>
    <w:p w14:paraId="7AA09175">
      <w:pPr>
        <w:tabs>
          <w:tab w:val="left" w:pos="3203"/>
          <w:tab w:val="center" w:pos="4350"/>
        </w:tabs>
        <w:spacing w:line="400" w:lineRule="exact"/>
        <w:ind w:right="31"/>
        <w:rPr>
          <w:rFonts w:hint="eastAsia" w:ascii="宋体" w:hAnsi="宋体" w:eastAsia="宋体" w:cs="宋体"/>
          <w:color w:val="auto"/>
          <w:sz w:val="21"/>
          <w:szCs w:val="21"/>
          <w:highlight w:val="none"/>
        </w:rPr>
      </w:pPr>
      <w:bookmarkStart w:id="6" w:name="_Toc78161823"/>
      <w:r>
        <w:rPr>
          <w:rFonts w:hint="eastAsia" w:ascii="宋体" w:hAnsi="宋体" w:eastAsia="宋体" w:cs="宋体"/>
          <w:color w:val="auto"/>
          <w:sz w:val="21"/>
          <w:szCs w:val="21"/>
          <w:highlight w:val="none"/>
        </w:rPr>
        <w:t>第二章：</w:t>
      </w:r>
      <w:bookmarkEnd w:id="6"/>
      <w:r>
        <w:rPr>
          <w:rFonts w:hint="eastAsia" w:ascii="宋体" w:hAnsi="宋体" w:eastAsia="宋体" w:cs="宋体"/>
          <w:color w:val="auto"/>
          <w:sz w:val="21"/>
          <w:szCs w:val="21"/>
          <w:highlight w:val="none"/>
        </w:rPr>
        <w:t xml:space="preserve">投标文件格式  </w:t>
      </w:r>
    </w:p>
    <w:p w14:paraId="17B8DA8D">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bookmarkStart w:id="7" w:name="_Toc78161824"/>
      <w:r>
        <w:rPr>
          <w:rFonts w:hint="eastAsia" w:ascii="宋体" w:hAnsi="宋体" w:eastAsia="宋体" w:cs="宋体"/>
          <w:color w:val="auto"/>
          <w:sz w:val="21"/>
          <w:szCs w:val="21"/>
          <w:highlight w:val="none"/>
        </w:rPr>
        <w:t>第三章：</w:t>
      </w:r>
      <w:bookmarkEnd w:id="7"/>
      <w:r>
        <w:rPr>
          <w:rFonts w:hint="eastAsia" w:ascii="宋体" w:hAnsi="宋体" w:eastAsia="宋体" w:cs="宋体"/>
          <w:color w:val="auto"/>
          <w:sz w:val="21"/>
          <w:szCs w:val="21"/>
          <w:highlight w:val="none"/>
          <w:lang w:val="en-US" w:eastAsia="zh-CN"/>
        </w:rPr>
        <w:t>合同主要条款</w:t>
      </w:r>
    </w:p>
    <w:p w14:paraId="4288D89E">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投标人获取招标文件（含招标人或招标机构提供的有关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资料、补遗或答疑）后，应认真审阅招标文件中所有的事项、格式、条款和规范要求等，若投标人的投标文件没有按招标文件要求提交全部资料，或投标文件没有对招标文件</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实质性响应，其风险由投标人自行承担，并根据有关条款规定，该投标有可能被拒绝。</w:t>
      </w:r>
    </w:p>
    <w:p w14:paraId="6DE578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4.2  </w:t>
      </w:r>
      <w:r>
        <w:rPr>
          <w:rFonts w:hint="eastAsia" w:ascii="宋体" w:hAnsi="宋体" w:eastAsia="宋体" w:cs="宋体"/>
          <w:color w:val="auto"/>
          <w:highlight w:val="none"/>
        </w:rPr>
        <w:t>招标文件的解释与澄清</w:t>
      </w:r>
    </w:p>
    <w:p w14:paraId="759CAD70">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firstLine="420" w:firstLineChars="200"/>
        <w:textAlignment w:val="baseline"/>
        <w:rPr>
          <w:rFonts w:hint="eastAsia"/>
        </w:rPr>
      </w:pPr>
      <w:r>
        <w:rPr>
          <w:rFonts w:hint="eastAsia" w:ascii="宋体" w:hAnsi="宋体" w:eastAsia="宋体" w:cs="宋体"/>
          <w:color w:val="auto"/>
          <w:sz w:val="21"/>
          <w:szCs w:val="21"/>
          <w:highlight w:val="none"/>
        </w:rPr>
        <w:t>任何要求澄清招标文件的投标人，均应在领取招标文件后2日内以书面形式（包括传真</w:t>
      </w:r>
      <w:r>
        <w:rPr>
          <w:rFonts w:hint="eastAsia" w:hAnsi="宋体" w:cs="宋体"/>
          <w:color w:val="auto"/>
          <w:sz w:val="21"/>
          <w:szCs w:val="21"/>
          <w:highlight w:val="none"/>
          <w:lang w:eastAsia="zh-CN"/>
        </w:rPr>
        <w:t>）咨</w:t>
      </w:r>
      <w:r>
        <w:rPr>
          <w:rFonts w:hint="eastAsia" w:ascii="宋体" w:hAnsi="宋体" w:eastAsia="宋体" w:cs="宋体"/>
          <w:color w:val="auto"/>
          <w:sz w:val="21"/>
          <w:szCs w:val="21"/>
          <w:highlight w:val="none"/>
        </w:rPr>
        <w:t>询招标人。</w:t>
      </w:r>
      <w:r>
        <w:rPr>
          <w:rFonts w:hint="eastAsia" w:hAnsi="宋体" w:cs="宋体"/>
          <w:color w:val="auto"/>
          <w:sz w:val="21"/>
          <w:szCs w:val="21"/>
          <w:highlight w:val="none"/>
          <w:lang w:eastAsia="zh-CN"/>
        </w:rPr>
        <w:t>招标机构应在2日内以书面形式回复并通知所有投标人，内容包含对询问的详尽阐释，但将保密询问的具体来源；</w:t>
      </w:r>
      <w:r>
        <w:rPr>
          <w:rFonts w:hint="eastAsia" w:ascii="宋体" w:hAnsi="宋体" w:eastAsia="宋体" w:cs="宋体"/>
          <w:color w:val="auto"/>
          <w:sz w:val="21"/>
          <w:szCs w:val="21"/>
          <w:highlight w:val="none"/>
        </w:rPr>
        <w:t>2日内未提出需澄清或答复的问题</w:t>
      </w:r>
      <w:r>
        <w:rPr>
          <w:rFonts w:hint="eastAsia" w:hAnsi="宋体" w:cs="宋体"/>
          <w:color w:val="auto"/>
          <w:sz w:val="21"/>
          <w:szCs w:val="21"/>
          <w:highlight w:val="none"/>
          <w:lang w:eastAsia="zh-CN"/>
        </w:rPr>
        <w:t>视作</w:t>
      </w:r>
      <w:r>
        <w:rPr>
          <w:rFonts w:hint="eastAsia" w:ascii="宋体" w:hAnsi="宋体" w:eastAsia="宋体" w:cs="宋体"/>
          <w:color w:val="auto"/>
          <w:sz w:val="21"/>
          <w:szCs w:val="21"/>
          <w:highlight w:val="none"/>
        </w:rPr>
        <w:t>投标人对招标文件全部内容予以认可。</w:t>
      </w:r>
    </w:p>
    <w:p w14:paraId="536A0EC9">
      <w:pPr>
        <w:pStyle w:val="3"/>
        <w:bidi w:val="0"/>
        <w:rPr>
          <w:rStyle w:val="20"/>
          <w:rFonts w:hint="eastAsia" w:ascii="宋体" w:hAnsi="宋体" w:eastAsia="宋体" w:cs="宋体"/>
          <w:b/>
          <w:bCs/>
          <w:color w:val="auto"/>
          <w:highlight w:val="none"/>
        </w:rPr>
      </w:pPr>
      <w:bookmarkStart w:id="8" w:name="_Toc216059996"/>
      <w:r>
        <w:rPr>
          <w:rStyle w:val="20"/>
          <w:rFonts w:hint="eastAsia" w:ascii="宋体" w:hAnsi="宋体" w:eastAsia="宋体" w:cs="宋体"/>
          <w:b/>
          <w:bCs/>
          <w:color w:val="auto"/>
          <w:highlight w:val="none"/>
          <w:lang w:val="en-US" w:eastAsia="zh-CN"/>
        </w:rPr>
        <w:t xml:space="preserve">5  </w:t>
      </w:r>
      <w:r>
        <w:rPr>
          <w:rStyle w:val="20"/>
          <w:rFonts w:hint="eastAsia" w:ascii="宋体" w:hAnsi="宋体" w:eastAsia="宋体" w:cs="宋体"/>
          <w:b/>
          <w:bCs/>
          <w:color w:val="auto"/>
          <w:highlight w:val="none"/>
        </w:rPr>
        <w:t>投标费用</w:t>
      </w:r>
      <w:bookmarkEnd w:id="8"/>
    </w:p>
    <w:p w14:paraId="09CEDFFD">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textAlignment w:val="baseline"/>
        <w:rPr>
          <w:rFonts w:hint="eastAsia"/>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投标人应承担其标书的准备与递交等所涉及的在投标过程中所发生的一切费用，不论投标结果如何，招标人对投标费用不负任何责任。</w:t>
      </w:r>
    </w:p>
    <w:p w14:paraId="6B73B346">
      <w:pPr>
        <w:pStyle w:val="3"/>
        <w:bidi w:val="0"/>
        <w:rPr>
          <w:rFonts w:hint="eastAsia"/>
          <w:b/>
          <w:bCs/>
        </w:rPr>
      </w:pPr>
      <w:bookmarkStart w:id="9" w:name="_Toc216059998"/>
      <w:r>
        <w:rPr>
          <w:rStyle w:val="20"/>
          <w:rFonts w:hint="eastAsia" w:ascii="宋体" w:hAnsi="宋体" w:eastAsia="宋体" w:cs="宋体"/>
          <w:b/>
          <w:bCs/>
          <w:color w:val="auto"/>
          <w:highlight w:val="none"/>
          <w:lang w:val="en-US" w:eastAsia="zh-CN"/>
        </w:rPr>
        <w:t xml:space="preserve">6  </w:t>
      </w:r>
      <w:r>
        <w:rPr>
          <w:rStyle w:val="20"/>
          <w:rFonts w:hint="eastAsia" w:ascii="宋体" w:hAnsi="宋体" w:eastAsia="宋体" w:cs="宋体"/>
          <w:b/>
          <w:bCs/>
          <w:color w:val="auto"/>
          <w:highlight w:val="none"/>
        </w:rPr>
        <w:t>投标文件</w:t>
      </w:r>
      <w:bookmarkEnd w:id="9"/>
    </w:p>
    <w:p w14:paraId="2B5EDBB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default"/>
          <w:lang w:val="en-US" w:eastAsia="zh-CN"/>
        </w:rPr>
      </w:pPr>
      <w:bookmarkStart w:id="10" w:name="_Toc216060000"/>
      <w:r>
        <w:rPr>
          <w:rFonts w:hint="eastAsia" w:ascii="宋体" w:hAnsi="宋体" w:eastAsia="宋体" w:cs="宋体"/>
          <w:color w:val="auto"/>
          <w:highlight w:val="none"/>
          <w:lang w:val="en-US" w:eastAsia="zh-CN"/>
        </w:rPr>
        <w:t>6.1 投标书包括：</w:t>
      </w:r>
    </w:p>
    <w:p w14:paraId="35FB9755">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附件一：法人代表授权委托书</w:t>
      </w:r>
    </w:p>
    <w:p w14:paraId="392D1AE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附件二：投标书</w:t>
      </w:r>
    </w:p>
    <w:p w14:paraId="0D4C798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附件三：邀请函</w:t>
      </w:r>
    </w:p>
    <w:p w14:paraId="25D96E48">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附件四：报价单</w:t>
      </w:r>
    </w:p>
    <w:p w14:paraId="538CC152">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附件五：企业情况一览表</w:t>
      </w:r>
    </w:p>
    <w:p w14:paraId="65F0425E">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附件六：资格证明文件</w:t>
      </w:r>
    </w:p>
    <w:p w14:paraId="6164D1DB">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附件七：投标承诺书</w:t>
      </w:r>
    </w:p>
    <w:p w14:paraId="13C6FC4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附件八：保供条款</w:t>
      </w:r>
    </w:p>
    <w:p w14:paraId="0AD7170B">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附件九：投标保证金缴纳证明（银行付款底单扫描件）</w:t>
      </w:r>
    </w:p>
    <w:p w14:paraId="03248364">
      <w:pPr>
        <w:keepNext w:val="0"/>
        <w:keepLines w:val="0"/>
        <w:pageBreakBefore w:val="0"/>
        <w:widowControl w:val="0"/>
        <w:tabs>
          <w:tab w:val="left" w:pos="8222"/>
        </w:tabs>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附件十：阳光宣言</w:t>
      </w:r>
    </w:p>
    <w:p w14:paraId="450A88B0">
      <w:pPr>
        <w:numPr>
          <w:ilvl w:val="0"/>
          <w:numId w:val="0"/>
        </w:numP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 xml:space="preserve">6.2 </w:t>
      </w:r>
      <w:r>
        <w:rPr>
          <w:rFonts w:hint="eastAsia" w:ascii="宋体" w:hAnsi="宋体" w:eastAsia="宋体" w:cs="宋体"/>
          <w:snapToGrid w:val="0"/>
          <w:color w:val="auto"/>
          <w:kern w:val="0"/>
          <w:sz w:val="21"/>
          <w:szCs w:val="21"/>
          <w:highlight w:val="none"/>
          <w:lang w:val="en-US" w:eastAsia="zh-CN" w:bidi="ar-SA"/>
        </w:rPr>
        <w:t>投标报</w:t>
      </w:r>
      <w:bookmarkEnd w:id="10"/>
      <w:r>
        <w:rPr>
          <w:rFonts w:hint="eastAsia" w:ascii="宋体" w:hAnsi="宋体" w:eastAsia="宋体" w:cs="宋体"/>
          <w:snapToGrid w:val="0"/>
          <w:color w:val="auto"/>
          <w:kern w:val="0"/>
          <w:sz w:val="21"/>
          <w:szCs w:val="21"/>
          <w:highlight w:val="none"/>
          <w:lang w:val="en-US" w:eastAsia="zh-CN" w:bidi="ar-SA"/>
        </w:rPr>
        <w:t>价</w:t>
      </w:r>
    </w:p>
    <w:p w14:paraId="708029E2">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投标报价在投标有效期内均是固定的，拒绝含有可变价格的报价。</w:t>
      </w:r>
    </w:p>
    <w:p w14:paraId="6B2C3DBD">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6.2.1 </w:t>
      </w:r>
      <w:r>
        <w:rPr>
          <w:rFonts w:hint="eastAsia" w:ascii="宋体" w:hAnsi="宋体" w:eastAsia="宋体" w:cs="宋体"/>
          <w:color w:val="auto"/>
          <w:sz w:val="21"/>
          <w:szCs w:val="21"/>
          <w:highlight w:val="none"/>
        </w:rPr>
        <w:t>投</w:t>
      </w:r>
      <w:r>
        <w:rPr>
          <w:rFonts w:hint="eastAsia" w:ascii="宋体" w:hAnsi="宋体" w:eastAsia="宋体" w:cs="宋体"/>
          <w:color w:val="auto"/>
          <w:highlight w:val="none"/>
        </w:rPr>
        <w:t>标人的投标报价，应是按照招标文件界定的</w:t>
      </w:r>
      <w:r>
        <w:rPr>
          <w:rFonts w:hint="eastAsia" w:ascii="宋体" w:hAnsi="宋体" w:eastAsia="宋体" w:cs="宋体"/>
          <w:color w:val="auto"/>
          <w:highlight w:val="none"/>
          <w:lang w:val="en-US" w:eastAsia="zh-CN"/>
        </w:rPr>
        <w:t>含税船运单价报价</w:t>
      </w:r>
      <w:r>
        <w:rPr>
          <w:rFonts w:hint="eastAsia" w:ascii="宋体" w:hAnsi="宋体" w:eastAsia="宋体" w:cs="宋体"/>
          <w:color w:val="auto"/>
          <w:highlight w:val="none"/>
        </w:rPr>
        <w:t>，</w:t>
      </w:r>
      <w:r>
        <w:rPr>
          <w:rFonts w:hint="eastAsia" w:hAnsi="宋体" w:cs="宋体"/>
          <w:color w:val="auto"/>
          <w:highlight w:val="none"/>
          <w:lang w:eastAsia="zh-CN"/>
        </w:rPr>
        <w:t>标明</w:t>
      </w:r>
      <w:r>
        <w:rPr>
          <w:rFonts w:hint="eastAsia" w:ascii="宋体" w:hAnsi="宋体" w:eastAsia="宋体" w:cs="宋体"/>
          <w:color w:val="auto"/>
          <w:highlight w:val="none"/>
        </w:rPr>
        <w:t>税率。</w:t>
      </w:r>
    </w:p>
    <w:p w14:paraId="33504B5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6.2.2 </w:t>
      </w:r>
      <w:r>
        <w:rPr>
          <w:rFonts w:hint="eastAsia" w:ascii="宋体" w:hAnsi="宋体" w:eastAsia="宋体" w:cs="宋体"/>
          <w:color w:val="auto"/>
          <w:highlight w:val="none"/>
        </w:rPr>
        <w:t>投标书报价内容及格式按“第二章：投标文件格式”规定格式编制。</w:t>
      </w:r>
    </w:p>
    <w:p w14:paraId="2965AF01">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6.2.3 </w:t>
      </w:r>
      <w:r>
        <w:rPr>
          <w:rFonts w:hint="eastAsia" w:ascii="宋体" w:hAnsi="宋体" w:eastAsia="宋体" w:cs="宋体"/>
          <w:color w:val="auto"/>
          <w:sz w:val="21"/>
          <w:szCs w:val="21"/>
          <w:highlight w:val="none"/>
        </w:rPr>
        <w:t>投标人只允许有一个报价，任何有选择的报价将不被接受。</w:t>
      </w:r>
    </w:p>
    <w:p w14:paraId="47E3CE8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6.2.4 </w:t>
      </w:r>
      <w:r>
        <w:rPr>
          <w:rFonts w:hint="eastAsia" w:ascii="宋体" w:hAnsi="宋体" w:eastAsia="宋体" w:cs="宋体"/>
          <w:color w:val="auto"/>
          <w:sz w:val="21"/>
          <w:szCs w:val="21"/>
          <w:highlight w:val="none"/>
        </w:rPr>
        <w:t>投标人在编制投标报价时，应当充分考虑各种风险因素的影响。</w:t>
      </w:r>
    </w:p>
    <w:p w14:paraId="70862E3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val="en-US" w:eastAsia="zh-CN"/>
        </w:rPr>
      </w:pPr>
      <w:bookmarkStart w:id="11" w:name="_Toc216059999"/>
      <w:r>
        <w:rPr>
          <w:rFonts w:hint="eastAsia" w:ascii="宋体" w:hAnsi="宋体" w:eastAsia="宋体" w:cs="宋体"/>
          <w:color w:val="auto"/>
          <w:highlight w:val="none"/>
          <w:lang w:val="en-US" w:eastAsia="zh-CN"/>
        </w:rPr>
        <w:t>6.3 投标有效期</w:t>
      </w:r>
      <w:bookmarkEnd w:id="11"/>
    </w:p>
    <w:p w14:paraId="6A84A3D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highlight w:val="none"/>
          <w:lang w:val="en-US" w:eastAsia="zh-CN"/>
        </w:rPr>
        <w:t>6.3.1 投标有效期为30天（从投标截止之日起计算）。</w:t>
      </w:r>
    </w:p>
    <w:p w14:paraId="575F7401">
      <w:pPr>
        <w:keepNext w:val="0"/>
        <w:keepLines w:val="0"/>
        <w:pageBreakBefore w:val="0"/>
        <w:widowControl w:val="0"/>
        <w:tabs>
          <w:tab w:val="left" w:pos="8222"/>
        </w:tabs>
        <w:kinsoku/>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1"/>
          <w:szCs w:val="21"/>
          <w:highlight w:val="none"/>
          <w:lang w:val="en-US" w:eastAsia="zh-CN" w:bidi="ar-SA"/>
        </w:rPr>
      </w:pPr>
      <w:bookmarkStart w:id="12" w:name="_Toc216060003"/>
      <w:r>
        <w:rPr>
          <w:rFonts w:hint="eastAsia" w:ascii="宋体" w:hAnsi="宋体" w:eastAsia="宋体" w:cs="宋体"/>
          <w:color w:val="auto"/>
          <w:kern w:val="0"/>
          <w:sz w:val="21"/>
          <w:szCs w:val="21"/>
          <w:highlight w:val="none"/>
          <w:lang w:val="en-US" w:eastAsia="zh-CN" w:bidi="ar-SA"/>
        </w:rPr>
        <w:t>6.3</w:t>
      </w:r>
      <w:r>
        <w:rPr>
          <w:rFonts w:hint="eastAsia"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2 投标文件材料</w:t>
      </w:r>
      <w:bookmarkEnd w:id="12"/>
      <w:r>
        <w:rPr>
          <w:rFonts w:hint="eastAsia" w:ascii="宋体" w:hAnsi="宋体" w:eastAsia="宋体" w:cs="宋体"/>
          <w:color w:val="auto"/>
          <w:kern w:val="0"/>
          <w:sz w:val="21"/>
          <w:szCs w:val="21"/>
          <w:highlight w:val="none"/>
          <w:lang w:val="en-US" w:eastAsia="zh-CN" w:bidi="ar-SA"/>
        </w:rPr>
        <w:t xml:space="preserve"> </w:t>
      </w:r>
    </w:p>
    <w:p w14:paraId="1EA766A9">
      <w:pPr>
        <w:keepNext w:val="0"/>
        <w:keepLines w:val="0"/>
        <w:pageBreakBefore w:val="0"/>
        <w:widowControl w:val="0"/>
        <w:numPr>
          <w:ilvl w:val="0"/>
          <w:numId w:val="0"/>
        </w:numPr>
        <w:kinsoku/>
        <w:wordWrap/>
        <w:overflowPunct/>
        <w:topLinePunct w:val="0"/>
        <w:autoSpaceDE w:val="0"/>
        <w:autoSpaceDN w:val="0"/>
        <w:bidi w:val="0"/>
        <w:adjustRightInd w:val="0"/>
        <w:spacing w:line="400" w:lineRule="exact"/>
        <w:textAlignment w:val="baseline"/>
        <w:rPr>
          <w:rFonts w:hint="eastAsia"/>
          <w:lang w:val="en-US" w:eastAsia="zh-CN"/>
        </w:rPr>
      </w:pPr>
      <w:r>
        <w:rPr>
          <w:rFonts w:hint="eastAsia" w:ascii="宋体" w:hAnsi="宋体" w:eastAsia="宋体" w:cs="宋体"/>
          <w:color w:val="auto"/>
          <w:kern w:val="0"/>
          <w:sz w:val="21"/>
          <w:szCs w:val="21"/>
          <w:highlight w:val="none"/>
          <w:lang w:val="en-US" w:eastAsia="zh-CN" w:bidi="ar-SA"/>
        </w:rPr>
        <w:t>6.3</w:t>
      </w:r>
      <w:r>
        <w:rPr>
          <w:rFonts w:hint="eastAsia"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3 </w:t>
      </w:r>
      <w:r>
        <w:rPr>
          <w:rFonts w:hint="eastAsia" w:ascii="宋体" w:hAnsi="宋体" w:eastAsia="宋体" w:cs="宋体"/>
          <w:color w:val="auto"/>
          <w:highlight w:val="none"/>
          <w:lang w:val="en-US" w:eastAsia="zh-CN"/>
        </w:rPr>
        <w:t>投标人准备投标文件材料正本1套， 副本3套</w:t>
      </w:r>
    </w:p>
    <w:p w14:paraId="4CF14BE3">
      <w:pPr>
        <w:pStyle w:val="3"/>
        <w:bidi w:val="0"/>
        <w:rPr>
          <w:rStyle w:val="20"/>
          <w:rFonts w:hint="eastAsia" w:ascii="宋体" w:hAnsi="宋体" w:eastAsia="宋体" w:cs="宋体"/>
          <w:b/>
          <w:bCs/>
          <w:color w:val="auto"/>
          <w:highlight w:val="none"/>
        </w:rPr>
      </w:pPr>
      <w:bookmarkStart w:id="13" w:name="_Toc216060004"/>
      <w:r>
        <w:rPr>
          <w:rStyle w:val="20"/>
          <w:rFonts w:hint="eastAsia" w:ascii="宋体" w:hAnsi="宋体" w:eastAsia="宋体" w:cs="宋体"/>
          <w:b/>
          <w:bCs/>
          <w:color w:val="auto"/>
          <w:highlight w:val="none"/>
          <w:lang w:val="en-US" w:eastAsia="zh-CN"/>
        </w:rPr>
        <w:t xml:space="preserve">7  </w:t>
      </w:r>
      <w:r>
        <w:rPr>
          <w:rStyle w:val="20"/>
          <w:rFonts w:hint="eastAsia" w:ascii="宋体" w:hAnsi="宋体" w:eastAsia="宋体" w:cs="宋体"/>
          <w:b/>
          <w:bCs/>
          <w:color w:val="auto"/>
          <w:highlight w:val="none"/>
        </w:rPr>
        <w:t>投标文件材料的密封与标记</w:t>
      </w:r>
      <w:bookmarkEnd w:id="13"/>
    </w:p>
    <w:p w14:paraId="159B59C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7.1  </w:t>
      </w:r>
      <w:r>
        <w:rPr>
          <w:rFonts w:hint="eastAsia" w:ascii="宋体" w:hAnsi="宋体" w:eastAsia="宋体" w:cs="宋体"/>
          <w:color w:val="auto"/>
          <w:highlight w:val="none"/>
        </w:rPr>
        <w:t>本章条款第10.1.所述技术文件材料正本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套、副本3套 ，标书应统一密封包装</w:t>
      </w:r>
      <w:r>
        <w:rPr>
          <w:rFonts w:hint="eastAsia" w:hAnsi="宋体" w:cs="宋体"/>
          <w:color w:val="auto"/>
          <w:highlight w:val="none"/>
          <w:lang w:eastAsia="zh-CN"/>
        </w:rPr>
        <w:t>。</w:t>
      </w:r>
      <w:r>
        <w:rPr>
          <w:rFonts w:hint="eastAsia" w:ascii="宋体" w:hAnsi="宋体" w:eastAsia="宋体" w:cs="宋体"/>
          <w:color w:val="auto"/>
          <w:highlight w:val="none"/>
        </w:rPr>
        <w:t xml:space="preserve"> </w:t>
      </w:r>
    </w:p>
    <w:p w14:paraId="76E511A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7.2  </w:t>
      </w:r>
      <w:r>
        <w:rPr>
          <w:rFonts w:hint="eastAsia" w:ascii="宋体" w:hAnsi="宋体" w:eastAsia="宋体" w:cs="宋体"/>
          <w:color w:val="auto"/>
          <w:highlight w:val="none"/>
        </w:rPr>
        <w:t>所有包封外表面都应具有下列识别标志：</w:t>
      </w:r>
    </w:p>
    <w:p w14:paraId="4D147665">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投标的项目名称：</w:t>
      </w:r>
      <w:r>
        <w:rPr>
          <w:rFonts w:hint="eastAsia" w:ascii="宋体" w:hAnsi="宋体" w:eastAsia="宋体" w:cs="宋体"/>
          <w:color w:val="auto"/>
          <w:highlight w:val="none"/>
          <w:u w:val="single"/>
        </w:rPr>
        <w:t xml:space="preserve">                      </w:t>
      </w:r>
    </w:p>
    <w:p w14:paraId="311F2E06">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u w:val="single"/>
        </w:rPr>
      </w:pPr>
      <w:r>
        <w:rPr>
          <w:rFonts w:hint="eastAsia" w:ascii="宋体" w:hAnsi="宋体" w:eastAsia="宋体" w:cs="宋体"/>
          <w:color w:val="auto"/>
          <w:highlight w:val="none"/>
        </w:rPr>
        <w:t>投标单位：</w:t>
      </w:r>
      <w:r>
        <w:rPr>
          <w:rFonts w:hint="eastAsia" w:ascii="宋体" w:hAnsi="宋体" w:eastAsia="宋体" w:cs="宋体"/>
          <w:color w:val="auto"/>
          <w:highlight w:val="none"/>
          <w:u w:val="single"/>
        </w:rPr>
        <w:t xml:space="preserve">                            </w:t>
      </w:r>
    </w:p>
    <w:p w14:paraId="0035397F">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投标单位地址：________________________</w:t>
      </w:r>
    </w:p>
    <w:p w14:paraId="79C21123">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eastAsia="zh-CN"/>
        </w:rPr>
        <w:t>包</w:t>
      </w:r>
      <w:r>
        <w:rPr>
          <w:rFonts w:hint="eastAsia" w:ascii="宋体" w:hAnsi="宋体" w:eastAsia="宋体" w:cs="宋体"/>
          <w:color w:val="auto"/>
          <w:highlight w:val="none"/>
        </w:rPr>
        <w:t>封外表面应注明投标人的名称与地址，并加盖公章。</w:t>
      </w:r>
    </w:p>
    <w:p w14:paraId="0D3C1EC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eastAsia="zh-CN"/>
        </w:rPr>
      </w:pPr>
      <w:r>
        <w:rPr>
          <w:rFonts w:hint="eastAsia" w:hAnsi="宋体" w:cs="宋体"/>
          <w:color w:val="auto"/>
          <w:highlight w:val="none"/>
          <w:lang w:val="en-US" w:eastAsia="zh-CN"/>
        </w:rPr>
        <w:t xml:space="preserve">7.3  </w:t>
      </w:r>
      <w:r>
        <w:rPr>
          <w:rFonts w:hint="eastAsia" w:ascii="宋体" w:hAnsi="宋体" w:eastAsia="宋体" w:cs="宋体"/>
          <w:color w:val="auto"/>
          <w:highlight w:val="none"/>
        </w:rPr>
        <w:t>所有投标文件材料均应在开标当日9点之前由投标人带至投标会场，</w:t>
      </w:r>
      <w:r>
        <w:rPr>
          <w:rFonts w:hint="eastAsia" w:hAnsi="宋体" w:cs="宋体"/>
          <w:color w:val="auto"/>
          <w:highlight w:val="none"/>
          <w:lang w:eastAsia="zh-CN"/>
        </w:rPr>
        <w:t>且需在规定时间内提交给招标人。</w:t>
      </w:r>
    </w:p>
    <w:p w14:paraId="152945D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eastAsia="zh-CN"/>
        </w:rPr>
      </w:pPr>
      <w:r>
        <w:rPr>
          <w:rFonts w:hint="eastAsia" w:hAnsi="宋体" w:cs="宋体"/>
          <w:color w:val="auto"/>
          <w:highlight w:val="none"/>
          <w:lang w:val="en-US" w:eastAsia="zh-CN"/>
        </w:rPr>
        <w:t xml:space="preserve">7.4  </w:t>
      </w:r>
      <w:r>
        <w:rPr>
          <w:rFonts w:hint="eastAsia" w:ascii="宋体" w:hAnsi="宋体" w:eastAsia="宋体" w:cs="宋体"/>
          <w:color w:val="auto"/>
          <w:highlight w:val="none"/>
        </w:rPr>
        <w:t>如包封</w:t>
      </w:r>
      <w:r>
        <w:rPr>
          <w:rFonts w:hint="eastAsia" w:hAnsi="宋体" w:cs="宋体"/>
          <w:color w:val="auto"/>
          <w:highlight w:val="none"/>
          <w:lang w:eastAsia="zh-CN"/>
        </w:rPr>
        <w:t>外表面</w:t>
      </w:r>
      <w:r>
        <w:rPr>
          <w:rFonts w:hint="eastAsia" w:ascii="宋体" w:hAnsi="宋体" w:eastAsia="宋体" w:cs="宋体"/>
          <w:color w:val="auto"/>
          <w:highlight w:val="none"/>
        </w:rPr>
        <w:t>没有按上述规定密封并加以标记，招标人将不承担投标文件材料被错放或提前开封的责任，</w:t>
      </w:r>
      <w:r>
        <w:rPr>
          <w:rFonts w:hint="eastAsia" w:hAnsi="宋体" w:cs="宋体"/>
          <w:color w:val="auto"/>
          <w:highlight w:val="none"/>
          <w:lang w:eastAsia="zh-CN"/>
        </w:rPr>
        <w:t>若因此导致投标文件材料被提前开封，招标人有权拒绝接收，并将相关材料原封不动地退还给投标人。</w:t>
      </w:r>
    </w:p>
    <w:p w14:paraId="669700F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lang w:val="en-US" w:eastAsia="zh-CN"/>
        </w:rPr>
      </w:pPr>
      <w:r>
        <w:rPr>
          <w:rFonts w:hint="eastAsia" w:ascii="宋体" w:hAnsi="宋体" w:eastAsia="宋体" w:cs="宋体"/>
          <w:color w:val="auto"/>
          <w:highlight w:val="none"/>
          <w:lang w:val="en-US" w:eastAsia="zh-CN"/>
        </w:rPr>
        <w:t>7.5  在开标前任何单位和个人不得开启投标文件材料。</w:t>
      </w:r>
    </w:p>
    <w:p w14:paraId="46593F78">
      <w:pPr>
        <w:pStyle w:val="3"/>
        <w:bidi w:val="0"/>
        <w:rPr>
          <w:rFonts w:hint="eastAsia"/>
          <w:lang w:val="en-US" w:eastAsia="zh-CN"/>
        </w:rPr>
      </w:pPr>
      <w:r>
        <w:rPr>
          <w:rFonts w:hint="eastAsia"/>
          <w:lang w:val="en-US" w:eastAsia="zh-CN"/>
        </w:rPr>
        <w:t>8  投标文件递交截止时间</w:t>
      </w:r>
    </w:p>
    <w:p w14:paraId="0289706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lang w:val="en-US" w:eastAsia="zh-CN"/>
        </w:rPr>
      </w:pPr>
      <w:r>
        <w:rPr>
          <w:rFonts w:hint="eastAsia" w:ascii="宋体" w:hAnsi="宋体" w:eastAsia="宋体" w:cs="宋体"/>
          <w:color w:val="auto"/>
          <w:highlight w:val="none"/>
          <w:lang w:val="en-US" w:eastAsia="zh-CN"/>
        </w:rPr>
        <w:t>8.1  投标文件递交截止时间：</w:t>
      </w:r>
      <w:r>
        <w:rPr>
          <w:rFonts w:hint="eastAsia" w:hAnsi="宋体" w:cs="宋体"/>
          <w:color w:val="auto"/>
          <w:highlight w:val="none"/>
          <w:lang w:val="en-US" w:eastAsia="zh-CN"/>
        </w:rPr>
        <w:t>按</w:t>
      </w:r>
      <w:r>
        <w:rPr>
          <w:rFonts w:hint="eastAsia" w:ascii="宋体" w:hAnsi="宋体" w:eastAsia="宋体" w:cs="宋体"/>
          <w:color w:val="auto"/>
          <w:highlight w:val="none"/>
          <w:lang w:val="en-US" w:eastAsia="zh-CN"/>
        </w:rPr>
        <w:t>执行投标人须知</w:t>
      </w:r>
      <w:r>
        <w:rPr>
          <w:rFonts w:hint="eastAsia" w:hAnsi="宋体" w:cs="宋体"/>
          <w:color w:val="auto"/>
          <w:highlight w:val="none"/>
          <w:lang w:val="en-US" w:eastAsia="zh-CN"/>
        </w:rPr>
        <w:t xml:space="preserve">《1 </w:t>
      </w:r>
      <w:r>
        <w:rPr>
          <w:rFonts w:hint="eastAsia" w:ascii="宋体" w:hAnsi="宋体" w:eastAsia="宋体" w:cs="宋体"/>
          <w:color w:val="auto"/>
          <w:highlight w:val="none"/>
          <w:lang w:val="en-US" w:eastAsia="zh-CN"/>
        </w:rPr>
        <w:t>前附表</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规定。</w:t>
      </w:r>
    </w:p>
    <w:p w14:paraId="124C4E35">
      <w:pPr>
        <w:pStyle w:val="3"/>
        <w:bidi w:val="0"/>
        <w:rPr>
          <w:rFonts w:hint="eastAsia"/>
          <w:lang w:val="en-US" w:eastAsia="zh-CN"/>
        </w:rPr>
      </w:pPr>
      <w:r>
        <w:rPr>
          <w:rFonts w:hint="eastAsia"/>
          <w:lang w:val="en-US" w:eastAsia="zh-CN"/>
        </w:rPr>
        <w:t>9  开标</w:t>
      </w:r>
    </w:p>
    <w:p w14:paraId="5B4875B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9.1  </w:t>
      </w:r>
      <w:r>
        <w:rPr>
          <w:rFonts w:hint="eastAsia" w:ascii="宋体" w:hAnsi="宋体" w:eastAsia="宋体" w:cs="宋体"/>
          <w:color w:val="auto"/>
          <w:highlight w:val="none"/>
        </w:rPr>
        <w:t>所有按时递交投标书的投标人其法定代表人或法定代表人授权的委托代理人应参加开标会议。</w:t>
      </w:r>
    </w:p>
    <w:p w14:paraId="7D8FCD3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9.2  </w:t>
      </w:r>
      <w:r>
        <w:rPr>
          <w:rFonts w:hint="eastAsia" w:ascii="宋体" w:hAnsi="宋体" w:eastAsia="宋体" w:cs="宋体"/>
          <w:color w:val="auto"/>
          <w:highlight w:val="none"/>
        </w:rPr>
        <w:t>第一次报价随标书递交招标方，招标方在开标时进行第二次报价。</w:t>
      </w:r>
    </w:p>
    <w:p w14:paraId="512EFA1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9.3  </w:t>
      </w:r>
      <w:r>
        <w:rPr>
          <w:rFonts w:hint="eastAsia" w:ascii="宋体" w:hAnsi="宋体" w:eastAsia="宋体" w:cs="宋体"/>
          <w:color w:val="auto"/>
          <w:highlight w:val="none"/>
        </w:rPr>
        <w:t xml:space="preserve">招标人负责开标会会议记录。 </w:t>
      </w:r>
    </w:p>
    <w:p w14:paraId="111E2774">
      <w:pPr>
        <w:pStyle w:val="3"/>
        <w:bidi w:val="0"/>
        <w:rPr>
          <w:rFonts w:hint="eastAsia"/>
        </w:rPr>
      </w:pPr>
      <w:bookmarkStart w:id="14" w:name="_Toc216060010"/>
      <w:r>
        <w:rPr>
          <w:rFonts w:hint="eastAsia"/>
          <w:lang w:val="en-US" w:eastAsia="zh-CN"/>
        </w:rPr>
        <w:t xml:space="preserve">10 </w:t>
      </w:r>
      <w:r>
        <w:rPr>
          <w:rFonts w:hint="eastAsia"/>
        </w:rPr>
        <w:t>评标</w:t>
      </w:r>
      <w:bookmarkEnd w:id="14"/>
    </w:p>
    <w:p w14:paraId="1E22BD76">
      <w:pPr>
        <w:numPr>
          <w:ilvl w:val="0"/>
          <w:numId w:val="0"/>
        </w:numPr>
        <w:rPr>
          <w:rFonts w:hint="eastAsia" w:ascii="宋体" w:hAnsi="宋体" w:eastAsia="宋体" w:cs="宋体"/>
          <w:color w:val="auto"/>
          <w:highlight w:val="none"/>
        </w:rPr>
      </w:pPr>
      <w:r>
        <w:rPr>
          <w:rFonts w:hint="eastAsia" w:hAnsi="宋体" w:cs="宋体"/>
          <w:color w:val="auto"/>
          <w:highlight w:val="none"/>
          <w:lang w:val="en-US" w:eastAsia="zh-CN"/>
        </w:rPr>
        <w:t xml:space="preserve">10.1  </w:t>
      </w:r>
      <w:r>
        <w:rPr>
          <w:rFonts w:hint="eastAsia" w:ascii="宋体" w:hAnsi="宋体" w:eastAsia="宋体" w:cs="宋体"/>
          <w:color w:val="auto"/>
          <w:highlight w:val="none"/>
        </w:rPr>
        <w:t>招标人依法成立评标委员会。在评标委员会监督管理下对所有有效的投标文件材料，本着公开、公平、公正、科学、择优的原则，综合评定。</w:t>
      </w:r>
    </w:p>
    <w:p w14:paraId="7BC35B66">
      <w:pPr>
        <w:numPr>
          <w:ilvl w:val="0"/>
          <w:numId w:val="0"/>
        </w:numPr>
        <w:ind w:leftChars="0"/>
        <w:rPr>
          <w:rFonts w:hint="eastAsia" w:ascii="宋体" w:hAnsi="宋体" w:eastAsia="宋体" w:cs="宋体"/>
          <w:color w:val="auto"/>
          <w:highlight w:val="none"/>
        </w:rPr>
      </w:pPr>
    </w:p>
    <w:p w14:paraId="4F60CA90">
      <w:pPr>
        <w:numPr>
          <w:ilvl w:val="0"/>
          <w:numId w:val="0"/>
        </w:numPr>
        <w:ind w:leftChars="0"/>
        <w:rPr>
          <w:rFonts w:hint="eastAsia" w:ascii="宋体" w:hAnsi="宋体" w:eastAsia="宋体" w:cs="宋体"/>
          <w:color w:val="auto"/>
          <w:highlight w:val="none"/>
        </w:rPr>
      </w:pPr>
    </w:p>
    <w:p w14:paraId="300CD549">
      <w:pPr>
        <w:pStyle w:val="2"/>
        <w:spacing w:before="0" w:after="0" w:line="240" w:lineRule="auto"/>
        <w:rPr>
          <w:rFonts w:hint="eastAsia"/>
        </w:rPr>
      </w:pPr>
    </w:p>
    <w:p w14:paraId="20FD30FB">
      <w:pPr>
        <w:pStyle w:val="2"/>
        <w:spacing w:before="0" w:after="0" w:line="240" w:lineRule="auto"/>
        <w:rPr>
          <w:rFonts w:hint="eastAsia"/>
        </w:rPr>
      </w:pPr>
    </w:p>
    <w:p w14:paraId="455D990E">
      <w:pPr>
        <w:spacing w:line="240" w:lineRule="auto"/>
        <w:rPr>
          <w:rFonts w:hint="eastAsia"/>
        </w:rPr>
      </w:pPr>
    </w:p>
    <w:p w14:paraId="2C898F79">
      <w:pPr>
        <w:numPr>
          <w:ilvl w:val="0"/>
          <w:numId w:val="0"/>
        </w:numPr>
        <w:ind w:leftChars="0"/>
        <w:rPr>
          <w:rFonts w:hint="eastAsia" w:ascii="宋体" w:hAnsi="宋体" w:eastAsia="宋体" w:cs="宋体"/>
          <w:color w:val="auto"/>
          <w:highlight w:val="none"/>
        </w:rPr>
      </w:pPr>
    </w:p>
    <w:p w14:paraId="34E3A98D">
      <w:pPr>
        <w:numPr>
          <w:ilvl w:val="0"/>
          <w:numId w:val="0"/>
        </w:numPr>
        <w:ind w:leftChars="0"/>
        <w:rPr>
          <w:rFonts w:hint="eastAsia" w:ascii="宋体" w:hAnsi="宋体" w:eastAsia="宋体" w:cs="宋体"/>
          <w:color w:val="auto"/>
          <w:highlight w:val="none"/>
        </w:rPr>
      </w:pPr>
    </w:p>
    <w:p w14:paraId="147732F4">
      <w:pPr>
        <w:pStyle w:val="22"/>
        <w:ind w:left="0" w:leftChars="0" w:firstLine="2530" w:firstLineChars="900"/>
        <w:jc w:val="both"/>
        <w:rPr>
          <w:rFonts w:hint="eastAsia" w:ascii="宋体" w:hAnsi="宋体" w:eastAsia="宋体" w:cs="宋体"/>
          <w:b/>
          <w:bCs w:val="0"/>
          <w:color w:val="auto"/>
          <w:highlight w:val="none"/>
        </w:rPr>
      </w:pPr>
    </w:p>
    <w:p w14:paraId="557636D2">
      <w:pPr>
        <w:pStyle w:val="22"/>
        <w:ind w:left="0" w:leftChars="0" w:firstLine="2530" w:firstLineChars="900"/>
        <w:jc w:val="both"/>
        <w:rPr>
          <w:rFonts w:hint="eastAsia" w:ascii="宋体" w:hAnsi="宋体" w:eastAsia="宋体" w:cs="宋体"/>
          <w:b/>
          <w:bCs w:val="0"/>
          <w:color w:val="auto"/>
          <w:highlight w:val="none"/>
        </w:rPr>
      </w:pPr>
    </w:p>
    <w:p w14:paraId="5E8A886E">
      <w:pPr>
        <w:pStyle w:val="22"/>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 xml:space="preserve">第二章  </w:t>
      </w:r>
      <w:r>
        <w:rPr>
          <w:rFonts w:hint="eastAsia" w:ascii="宋体" w:hAnsi="宋体" w:eastAsia="宋体" w:cs="宋体"/>
          <w:b/>
          <w:bCs w:val="0"/>
          <w:color w:val="auto"/>
          <w:sz w:val="44"/>
          <w:szCs w:val="44"/>
          <w:highlight w:val="none"/>
          <w:lang w:val="en-US" w:eastAsia="zh-CN"/>
        </w:rPr>
        <w:t>附件</w:t>
      </w:r>
      <w:r>
        <w:rPr>
          <w:rFonts w:hint="eastAsia" w:ascii="宋体" w:hAnsi="宋体" w:eastAsia="宋体" w:cs="宋体"/>
          <w:b/>
          <w:bCs w:val="0"/>
          <w:color w:val="auto"/>
          <w:sz w:val="44"/>
          <w:szCs w:val="44"/>
          <w:highlight w:val="none"/>
        </w:rPr>
        <w:t>投标文件格式</w:t>
      </w:r>
    </w:p>
    <w:p w14:paraId="4B472352">
      <w:pPr>
        <w:pStyle w:val="22"/>
        <w:ind w:left="0" w:leftChars="0" w:firstLine="0" w:firstLineChars="0"/>
        <w:jc w:val="both"/>
        <w:rPr>
          <w:rFonts w:hint="eastAsia" w:ascii="宋体" w:hAnsi="宋体" w:eastAsia="宋体" w:cs="宋体"/>
          <w:color w:val="auto"/>
          <w:szCs w:val="32"/>
          <w:highlight w:val="none"/>
        </w:rPr>
      </w:pPr>
    </w:p>
    <w:p w14:paraId="2A3C4F50">
      <w:pPr>
        <w:pStyle w:val="6"/>
        <w:bidi w:val="0"/>
        <w:rPr>
          <w:rFonts w:hint="eastAsia"/>
        </w:rPr>
      </w:pPr>
      <w:r>
        <w:rPr>
          <w:rFonts w:hint="eastAsia"/>
        </w:rPr>
        <w:t>投标文件包含资质文件及以下格式文件：</w:t>
      </w:r>
    </w:p>
    <w:p w14:paraId="6F6E2474">
      <w:pPr>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bookmarkStart w:id="15" w:name="OLE_LINK1"/>
      <w:r>
        <w:rPr>
          <w:rFonts w:hint="eastAsia" w:ascii="宋体" w:hAnsi="宋体" w:eastAsia="宋体" w:cs="宋体"/>
          <w:color w:val="auto"/>
          <w:szCs w:val="21"/>
          <w:highlight w:val="none"/>
        </w:rPr>
        <w:t>附件一：法人代表授权委托书</w:t>
      </w:r>
    </w:p>
    <w:p w14:paraId="0CCD5FE1">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附件二：投标</w:t>
      </w:r>
      <w:r>
        <w:rPr>
          <w:rFonts w:hint="eastAsia" w:ascii="宋体" w:hAnsi="宋体" w:eastAsia="宋体" w:cs="宋体"/>
          <w:color w:val="auto"/>
          <w:szCs w:val="21"/>
          <w:highlight w:val="none"/>
          <w:lang w:val="en-US" w:eastAsia="zh-CN"/>
        </w:rPr>
        <w:t>书</w:t>
      </w:r>
    </w:p>
    <w:p w14:paraId="0F9794BB">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邀请函</w:t>
      </w:r>
    </w:p>
    <w:p w14:paraId="5761B3CA">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报价单</w:t>
      </w:r>
    </w:p>
    <w:p w14:paraId="244E3AF0">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：企业情况一览表</w:t>
      </w:r>
    </w:p>
    <w:p w14:paraId="784C42E6">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：资格证明文件</w:t>
      </w:r>
    </w:p>
    <w:p w14:paraId="0E291565">
      <w:pPr>
        <w:pStyle w:val="11"/>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bookmarkStart w:id="16" w:name="_Toc396390603"/>
      <w:bookmarkStart w:id="17" w:name="_Toc396389455"/>
      <w:bookmarkStart w:id="18" w:name="_Toc396388227"/>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投标承诺书</w:t>
      </w:r>
    </w:p>
    <w:bookmarkEnd w:id="16"/>
    <w:bookmarkEnd w:id="17"/>
    <w:bookmarkEnd w:id="18"/>
    <w:p w14:paraId="611D0010">
      <w:pPr>
        <w:pStyle w:val="11"/>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：保供条款</w:t>
      </w:r>
    </w:p>
    <w:p w14:paraId="243A3408">
      <w:pPr>
        <w:pStyle w:val="11"/>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：投标保证金缴纳证明（银行付款底单扫描件）</w:t>
      </w:r>
    </w:p>
    <w:p w14:paraId="1004DC5E">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阳光宣言</w:t>
      </w:r>
    </w:p>
    <w:bookmarkEnd w:id="15"/>
    <w:p w14:paraId="68B12B58">
      <w:pPr>
        <w:pStyle w:val="22"/>
        <w:ind w:left="0" w:leftChars="0" w:firstLine="0" w:firstLineChars="0"/>
        <w:jc w:val="both"/>
        <w:rPr>
          <w:rFonts w:hint="eastAsia" w:ascii="宋体" w:hAnsi="宋体" w:eastAsia="宋体" w:cs="宋体"/>
          <w:color w:val="auto"/>
          <w:szCs w:val="32"/>
          <w:highlight w:val="none"/>
        </w:rPr>
        <w:sectPr>
          <w:headerReference r:id="rId5" w:type="default"/>
          <w:footerReference r:id="rId6" w:type="default"/>
          <w:pgSz w:w="11906" w:h="16838"/>
          <w:pgMar w:top="1440" w:right="1066" w:bottom="1440" w:left="1800" w:header="851" w:footer="992" w:gutter="0"/>
          <w:pgNumType w:fmt="decimal"/>
          <w:cols w:space="425" w:num="1"/>
          <w:docGrid w:type="lines" w:linePitch="312" w:charSpace="0"/>
        </w:sectPr>
      </w:pPr>
    </w:p>
    <w:p w14:paraId="63760447">
      <w:pPr>
        <w:pStyle w:val="11"/>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09C7D918">
      <w:pPr>
        <w:snapToGrid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法定代表人授权书</w:t>
      </w:r>
    </w:p>
    <w:p w14:paraId="2CA4C532">
      <w:pPr>
        <w:snapToGrid w:val="0"/>
        <w:spacing w:line="600" w:lineRule="exact"/>
        <w:ind w:firstLine="105"/>
        <w:rPr>
          <w:rFonts w:hint="eastAsia" w:hAnsi="宋体" w:cs="宋体"/>
          <w:color w:val="auto"/>
          <w:highlight w:val="none"/>
          <w:u w:val="single"/>
          <w:lang w:val="en-US" w:eastAsia="zh-CN"/>
        </w:rPr>
      </w:pPr>
      <w:r>
        <w:rPr>
          <w:rFonts w:hint="eastAsia" w:ascii="宋体" w:hAnsi="宋体" w:eastAsia="宋体" w:cs="宋体"/>
          <w:color w:val="auto"/>
          <w:highlight w:val="none"/>
          <w:u w:val="none"/>
        </w:rPr>
        <w:t>单位名称</w:t>
      </w:r>
      <w:r>
        <w:rPr>
          <w:rFonts w:hint="eastAsia" w:hAnsi="宋体" w:cs="宋体"/>
          <w:color w:val="auto"/>
          <w:highlight w:val="none"/>
          <w:u w:val="none"/>
          <w:lang w:eastAsia="zh-CN"/>
        </w:rPr>
        <w:t>：</w:t>
      </w:r>
      <w:r>
        <w:rPr>
          <w:rFonts w:hint="eastAsia" w:hAnsi="宋体" w:cs="宋体"/>
          <w:color w:val="auto"/>
          <w:highlight w:val="none"/>
          <w:u w:val="none"/>
          <w:lang w:val="en-US" w:eastAsia="zh-CN"/>
        </w:rPr>
        <w:t xml:space="preserve"> </w:t>
      </w:r>
      <w:r>
        <w:rPr>
          <w:rFonts w:hint="eastAsia" w:hAnsi="宋体" w:cs="宋体"/>
          <w:color w:val="auto"/>
          <w:highlight w:val="none"/>
          <w:u w:val="single"/>
          <w:lang w:val="en-US" w:eastAsia="zh-CN"/>
        </w:rPr>
        <w:t xml:space="preserve">                       </w:t>
      </w:r>
    </w:p>
    <w:p w14:paraId="0D4BD397">
      <w:pPr>
        <w:snapToGrid w:val="0"/>
        <w:spacing w:line="6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（投标单位名称）的法定代表人，现授权委</w:t>
      </w:r>
      <w:r>
        <w:rPr>
          <w:rFonts w:hint="eastAsia" w:hAnsi="宋体" w:cs="宋体"/>
          <w:color w:val="auto"/>
          <w:highlight w:val="none"/>
          <w:lang w:eastAsia="zh-CN"/>
        </w:rPr>
        <w:t>托人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（单位名称）的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（姓名）为我公司的合法代理人，以本公司的名义参加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项目招标的投标活动。代理人在投标、开标、评标、合同谈判过程中所签署的一切文件和处理与之有关的一切事务，我均予以承认。</w:t>
      </w:r>
    </w:p>
    <w:p w14:paraId="7D01AF4D">
      <w:pPr>
        <w:snapToGrid w:val="0"/>
        <w:spacing w:line="640" w:lineRule="exact"/>
        <w:ind w:firstLine="494"/>
        <w:rPr>
          <w:rFonts w:hint="eastAsia" w:ascii="宋体" w:hAnsi="宋体" w:eastAsia="宋体" w:cs="宋体"/>
          <w:color w:val="auto"/>
          <w:highlight w:val="none"/>
        </w:rPr>
      </w:pPr>
      <w:r>
        <w:rPr>
          <w:rFonts w:hint="eastAsia" w:ascii="宋体" w:hAnsi="宋体" w:eastAsia="宋体" w:cs="宋体"/>
          <w:color w:val="auto"/>
          <w:highlight w:val="none"/>
        </w:rPr>
        <w:t xml:space="preserve">代理人无转委权，特此委托。 </w:t>
      </w:r>
    </w:p>
    <w:p w14:paraId="281E4BF9">
      <w:pPr>
        <w:snapToGrid w:val="0"/>
        <w:spacing w:line="640" w:lineRule="exact"/>
        <w:ind w:firstLine="494"/>
        <w:rPr>
          <w:rFonts w:hint="eastAsia" w:ascii="宋体" w:hAnsi="宋体" w:eastAsia="宋体" w:cs="宋体"/>
          <w:color w:val="auto"/>
          <w:highlight w:val="none"/>
        </w:rPr>
      </w:pPr>
    </w:p>
    <w:p w14:paraId="6CCE867D">
      <w:pPr>
        <w:snapToGrid w:val="0"/>
        <w:spacing w:line="6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被委托人（签字）：        性别：        年龄：       身份证号：</w:t>
      </w:r>
    </w:p>
    <w:p w14:paraId="558736B8">
      <w:pPr>
        <w:snapToGrid w:val="0"/>
        <w:spacing w:line="640" w:lineRule="exact"/>
        <w:ind w:firstLine="494"/>
        <w:rPr>
          <w:rFonts w:hint="eastAsia" w:ascii="宋体" w:hAnsi="宋体" w:eastAsia="宋体" w:cs="宋体"/>
          <w:color w:val="auto"/>
          <w:highlight w:val="none"/>
        </w:rPr>
      </w:pPr>
      <w:r>
        <w:rPr>
          <w:rFonts w:hint="eastAsia" w:ascii="宋体" w:hAnsi="宋体" w:eastAsia="宋体" w:cs="宋体"/>
          <w:color w:val="auto"/>
          <w:highlight w:val="none"/>
        </w:rPr>
        <w:t>单  位：                 部门：        职务：</w:t>
      </w:r>
    </w:p>
    <w:p w14:paraId="3B18085A">
      <w:pPr>
        <w:snapToGrid w:val="0"/>
        <w:spacing w:line="640" w:lineRule="exact"/>
        <w:ind w:firstLine="494"/>
        <w:rPr>
          <w:rFonts w:hint="eastAsia" w:ascii="宋体" w:hAnsi="宋体" w:eastAsia="宋体" w:cs="宋体"/>
          <w:color w:val="auto"/>
          <w:highlight w:val="none"/>
        </w:rPr>
      </w:pPr>
    </w:p>
    <w:p w14:paraId="0173E05B">
      <w:pPr>
        <w:snapToGrid w:val="0"/>
        <w:spacing w:line="640" w:lineRule="exact"/>
        <w:ind w:firstLine="4000"/>
        <w:rPr>
          <w:rFonts w:hint="eastAsia" w:ascii="宋体" w:hAnsi="宋体" w:eastAsia="宋体" w:cs="宋体"/>
          <w:color w:val="auto"/>
          <w:highlight w:val="none"/>
        </w:rPr>
      </w:pPr>
    </w:p>
    <w:p w14:paraId="383810D7">
      <w:pPr>
        <w:snapToGrid w:val="0"/>
        <w:spacing w:line="640" w:lineRule="exact"/>
        <w:ind w:firstLine="4000"/>
        <w:rPr>
          <w:rFonts w:hint="eastAsia" w:ascii="宋体" w:hAnsi="宋体" w:eastAsia="宋体" w:cs="宋体"/>
          <w:color w:val="auto"/>
          <w:highlight w:val="none"/>
        </w:rPr>
      </w:pPr>
    </w:p>
    <w:p w14:paraId="3182864B">
      <w:pPr>
        <w:snapToGrid w:val="0"/>
        <w:spacing w:line="640" w:lineRule="exact"/>
        <w:ind w:firstLine="4420"/>
        <w:rPr>
          <w:rFonts w:hint="eastAsia" w:ascii="宋体" w:hAnsi="宋体" w:eastAsia="宋体" w:cs="宋体"/>
          <w:color w:val="auto"/>
          <w:highlight w:val="none"/>
        </w:rPr>
      </w:pPr>
      <w:r>
        <w:rPr>
          <w:rFonts w:hint="eastAsia" w:ascii="宋体" w:hAnsi="宋体" w:eastAsia="宋体" w:cs="宋体"/>
          <w:color w:val="auto"/>
          <w:highlight w:val="none"/>
        </w:rPr>
        <w:t>投标单位：（盖章）</w:t>
      </w:r>
    </w:p>
    <w:p w14:paraId="6301544A">
      <w:pPr>
        <w:snapToGrid w:val="0"/>
        <w:spacing w:line="640" w:lineRule="exact"/>
        <w:ind w:firstLine="4420"/>
        <w:rPr>
          <w:rFonts w:hint="eastAsia" w:ascii="宋体" w:hAnsi="宋体" w:eastAsia="宋体" w:cs="宋体"/>
          <w:color w:val="auto"/>
          <w:highlight w:val="none"/>
        </w:rPr>
      </w:pPr>
      <w:r>
        <w:rPr>
          <w:rFonts w:hint="eastAsia" w:ascii="宋体" w:hAnsi="宋体" w:eastAsia="宋体" w:cs="宋体"/>
          <w:color w:val="auto"/>
          <w:highlight w:val="none"/>
        </w:rPr>
        <w:t>法定代表人：（印鉴）</w:t>
      </w:r>
    </w:p>
    <w:p w14:paraId="60E42F7A">
      <w:pPr>
        <w:snapToGrid w:val="0"/>
        <w:spacing w:line="520" w:lineRule="exact"/>
        <w:jc w:val="center"/>
        <w:rPr>
          <w:rFonts w:hint="eastAsia" w:ascii="宋体" w:hAnsi="宋体" w:eastAsia="宋体" w:cs="宋体"/>
          <w:color w:val="auto"/>
          <w:highlight w:val="none"/>
        </w:rPr>
      </w:pPr>
    </w:p>
    <w:p w14:paraId="6810B0C8">
      <w:pPr>
        <w:snapToGrid w:val="0"/>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5924746C">
      <w:pPr>
        <w:snapToGrid w:val="0"/>
        <w:spacing w:line="520" w:lineRule="exact"/>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w:t>
      </w:r>
    </w:p>
    <w:p w14:paraId="1D0C6DAB">
      <w:pPr>
        <w:ind w:right="17"/>
        <w:rPr>
          <w:rFonts w:hint="eastAsia" w:ascii="宋体" w:hAnsi="宋体" w:eastAsia="宋体" w:cs="宋体"/>
          <w:color w:val="auto"/>
          <w:szCs w:val="28"/>
          <w:highlight w:val="none"/>
        </w:rPr>
      </w:pPr>
    </w:p>
    <w:p w14:paraId="2EF5CB7C">
      <w:pPr>
        <w:ind w:firstLine="7588"/>
        <w:jc w:val="left"/>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p>
    <w:p w14:paraId="1DFF4766">
      <w:pPr>
        <w:spacing w:line="340" w:lineRule="exact"/>
        <w:ind w:right="17"/>
        <w:rPr>
          <w:rFonts w:hint="eastAsia" w:ascii="宋体" w:hAnsi="宋体" w:eastAsia="宋体" w:cs="宋体"/>
          <w:color w:val="auto"/>
          <w:highlight w:val="none"/>
        </w:rPr>
      </w:pPr>
      <w:r>
        <w:rPr>
          <w:rFonts w:hint="eastAsia" w:ascii="宋体" w:hAnsi="宋体" w:eastAsia="宋体" w:cs="宋体"/>
          <w:color w:val="auto"/>
          <w:sz w:val="18"/>
          <w:szCs w:val="18"/>
          <w:highlight w:val="none"/>
        </w:rPr>
        <w:br w:type="page"/>
      </w:r>
    </w:p>
    <w:p w14:paraId="347D3518">
      <w:pPr>
        <w:spacing w:line="340" w:lineRule="exact"/>
        <w:ind w:right="17"/>
        <w:rPr>
          <w:rFonts w:hint="eastAsia" w:ascii="宋体" w:hAnsi="宋体" w:eastAsia="宋体" w:cs="宋体"/>
          <w:color w:val="auto"/>
          <w:highlight w:val="none"/>
        </w:rPr>
        <w:sectPr>
          <w:headerReference r:id="rId7" w:type="default"/>
          <w:pgSz w:w="11906" w:h="16838"/>
          <w:pgMar w:top="1440" w:right="1066" w:bottom="1440" w:left="1800" w:header="851" w:footer="992" w:gutter="0"/>
          <w:pgNumType w:fmt="decimal"/>
          <w:cols w:space="425" w:num="1"/>
          <w:docGrid w:type="lines" w:linePitch="312" w:charSpace="0"/>
        </w:sectPr>
      </w:pPr>
    </w:p>
    <w:p w14:paraId="321A3CF8">
      <w:pPr>
        <w:spacing w:line="340" w:lineRule="exact"/>
        <w:ind w:right="1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w:t>
      </w:r>
    </w:p>
    <w:p w14:paraId="44B97D88">
      <w:pPr>
        <w:spacing w:line="340" w:lineRule="exact"/>
        <w:ind w:right="17"/>
        <w:jc w:val="cente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投  标  书</w:t>
      </w:r>
    </w:p>
    <w:p w14:paraId="24148CAF">
      <w:pPr>
        <w:spacing w:line="460" w:lineRule="exact"/>
        <w:ind w:right="15"/>
        <w:jc w:val="left"/>
        <w:rPr>
          <w:rFonts w:hint="eastAsia" w:ascii="宋体" w:hAnsi="宋体" w:eastAsia="宋体" w:cs="宋体"/>
          <w:color w:val="auto"/>
          <w:highlight w:val="none"/>
        </w:rPr>
      </w:pPr>
      <w:r>
        <w:rPr>
          <w:rFonts w:hint="eastAsia" w:ascii="宋体" w:hAnsi="宋体" w:eastAsia="宋体" w:cs="宋体"/>
          <w:color w:val="auto"/>
          <w:highlight w:val="none"/>
        </w:rPr>
        <w:t>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p>
    <w:p w14:paraId="3AC7666B">
      <w:pPr>
        <w:spacing w:line="460" w:lineRule="exact"/>
        <w:ind w:firstLine="420"/>
        <w:rPr>
          <w:rFonts w:hint="eastAsia" w:ascii="宋体" w:hAnsi="宋体" w:eastAsia="宋体" w:cs="宋体"/>
          <w:color w:val="auto"/>
          <w:highlight w:val="none"/>
          <w:lang w:eastAsia="zh-CN"/>
        </w:rPr>
      </w:pPr>
      <w:r>
        <w:rPr>
          <w:rFonts w:hint="eastAsia" w:hAnsi="宋体" w:cs="宋体"/>
          <w:color w:val="auto"/>
          <w:highlight w:val="none"/>
          <w:lang w:val="en-US" w:eastAsia="zh-CN"/>
        </w:rPr>
        <w:t>1、</w:t>
      </w:r>
      <w:r>
        <w:rPr>
          <w:rFonts w:hint="eastAsia" w:ascii="宋体" w:hAnsi="宋体" w:eastAsia="宋体" w:cs="宋体"/>
          <w:color w:val="auto"/>
          <w:highlight w:val="none"/>
        </w:rPr>
        <w:t>根据你方招标编号为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lang w:val="en-US" w:eastAsia="zh-CN"/>
        </w:rPr>
        <w:t>的</w:t>
      </w:r>
      <w:r>
        <w:rPr>
          <w:rFonts w:hint="eastAsia" w:ascii="宋体" w:hAnsi="宋体" w:eastAsia="宋体" w:cs="宋体"/>
          <w:color w:val="auto"/>
          <w:highlight w:val="none"/>
        </w:rPr>
        <w:t>招标文件，遵照《中华人民共和国招标投标法》等有关规定，</w:t>
      </w:r>
      <w:r>
        <w:rPr>
          <w:rFonts w:hint="eastAsia" w:hAnsi="宋体" w:cs="宋体"/>
          <w:color w:val="auto"/>
          <w:highlight w:val="none"/>
          <w:lang w:eastAsia="zh-CN"/>
        </w:rPr>
        <w:t>经过仔细研究招标文件，我方决定自愿参与此次投标活动。</w:t>
      </w:r>
    </w:p>
    <w:p w14:paraId="5484F8A9">
      <w:pPr>
        <w:spacing w:line="460" w:lineRule="exact"/>
        <w:ind w:firstLine="420"/>
        <w:rPr>
          <w:rFonts w:hint="eastAsia" w:ascii="宋体" w:hAnsi="宋体" w:eastAsia="宋体" w:cs="宋体"/>
          <w:color w:val="auto"/>
          <w:highlight w:val="none"/>
          <w:u w:val="single"/>
          <w:lang w:eastAsia="zh-CN"/>
        </w:rPr>
      </w:pPr>
      <w:r>
        <w:rPr>
          <w:rFonts w:hint="eastAsia" w:hAnsi="宋体" w:cs="宋体"/>
          <w:color w:val="auto"/>
          <w:highlight w:val="none"/>
          <w:lang w:val="en-US" w:eastAsia="zh-CN"/>
        </w:rPr>
        <w:t>2、</w:t>
      </w:r>
      <w:r>
        <w:rPr>
          <w:rFonts w:hint="eastAsia" w:ascii="宋体" w:hAnsi="宋体" w:eastAsia="宋体" w:cs="宋体"/>
          <w:color w:val="auto"/>
          <w:highlight w:val="none"/>
        </w:rPr>
        <w:t>投标报价详见报价清单。</w:t>
      </w:r>
    </w:p>
    <w:p w14:paraId="2FB5386C">
      <w:pPr>
        <w:spacing w:line="460" w:lineRule="exact"/>
        <w:ind w:right="17" w:firstLine="420"/>
        <w:rPr>
          <w:rFonts w:hint="eastAsia" w:ascii="宋体" w:hAnsi="宋体" w:eastAsia="宋体" w:cs="宋体"/>
          <w:color w:val="auto"/>
          <w:highlight w:val="none"/>
        </w:rPr>
      </w:pPr>
      <w:r>
        <w:rPr>
          <w:rFonts w:hint="eastAsia" w:hAnsi="宋体" w:cs="宋体"/>
          <w:color w:val="auto"/>
          <w:highlight w:val="none"/>
          <w:lang w:val="en-US" w:eastAsia="zh-CN"/>
        </w:rPr>
        <w:t>3、</w:t>
      </w:r>
      <w:r>
        <w:rPr>
          <w:rFonts w:hint="eastAsia" w:ascii="宋体" w:hAnsi="宋体" w:eastAsia="宋体" w:cs="宋体"/>
          <w:color w:val="auto"/>
          <w:highlight w:val="none"/>
        </w:rPr>
        <w:t>一旦我方中标，我方保证按照承诺条件积极合作。</w:t>
      </w:r>
    </w:p>
    <w:p w14:paraId="430C98E5">
      <w:pPr>
        <w:spacing w:line="460" w:lineRule="exact"/>
        <w:ind w:right="17" w:firstLine="420"/>
        <w:rPr>
          <w:rFonts w:hint="eastAsia" w:ascii="宋体" w:hAnsi="宋体" w:eastAsia="宋体" w:cs="宋体"/>
          <w:color w:val="auto"/>
          <w:highlight w:val="none"/>
        </w:rPr>
      </w:pPr>
      <w:r>
        <w:rPr>
          <w:rFonts w:hint="eastAsia" w:hAnsi="宋体" w:cs="宋体"/>
          <w:color w:val="auto"/>
          <w:highlight w:val="none"/>
          <w:lang w:val="en-US" w:eastAsia="zh-CN"/>
        </w:rPr>
        <w:t>4、</w:t>
      </w:r>
      <w:r>
        <w:rPr>
          <w:rFonts w:hint="eastAsia" w:ascii="宋体" w:hAnsi="宋体" w:eastAsia="宋体" w:cs="宋体"/>
          <w:color w:val="auto"/>
          <w:highlight w:val="none"/>
        </w:rPr>
        <w:t>我方同意所提交的投标文件在“投标须知”规定的投标有效期内有效，在此期间如果我方中标，我方将受此约束。</w:t>
      </w:r>
    </w:p>
    <w:p w14:paraId="713E529F">
      <w:pPr>
        <w:spacing w:line="460" w:lineRule="exact"/>
        <w:ind w:right="17" w:firstLine="420"/>
        <w:rPr>
          <w:rFonts w:hint="eastAsia" w:ascii="宋体" w:hAnsi="宋体" w:eastAsia="宋体" w:cs="宋体"/>
          <w:color w:val="auto"/>
          <w:highlight w:val="none"/>
          <w:lang w:eastAsia="zh-CN"/>
        </w:rPr>
      </w:pPr>
      <w:r>
        <w:rPr>
          <w:rFonts w:hint="eastAsia" w:hAnsi="宋体" w:cs="宋体"/>
          <w:color w:val="auto"/>
          <w:highlight w:val="none"/>
          <w:lang w:val="en-US" w:eastAsia="zh-CN"/>
        </w:rPr>
        <w:t>5、</w:t>
      </w:r>
      <w:r>
        <w:rPr>
          <w:rFonts w:hint="eastAsia" w:ascii="宋体" w:hAnsi="宋体" w:eastAsia="宋体" w:cs="宋体"/>
          <w:color w:val="auto"/>
          <w:highlight w:val="none"/>
        </w:rPr>
        <w:t>除非另外达成协议并生效，你方的招标文件、中标通知书和本投标文件将成为约束我们双方的合同文件组成部分。</w:t>
      </w:r>
    </w:p>
    <w:p w14:paraId="133F751A">
      <w:pPr>
        <w:spacing w:line="360" w:lineRule="auto"/>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据此函，签字代表宣布同意如下：</w:t>
      </w:r>
    </w:p>
    <w:p w14:paraId="4746C1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①所附投标</w:t>
      </w:r>
      <w:r>
        <w:rPr>
          <w:rFonts w:hint="eastAsia" w:ascii="宋体" w:hAnsi="宋体" w:eastAsia="宋体" w:cs="宋体"/>
          <w:color w:val="auto"/>
          <w:highlight w:val="none"/>
          <w:lang w:val="en-US" w:eastAsia="zh-CN"/>
        </w:rPr>
        <w:t>运价</w:t>
      </w:r>
      <w:r>
        <w:rPr>
          <w:rFonts w:hint="eastAsia" w:ascii="宋体" w:hAnsi="宋体" w:eastAsia="宋体" w:cs="宋体"/>
          <w:color w:val="auto"/>
          <w:highlight w:val="none"/>
        </w:rPr>
        <w:t>表中规定的应报价的</w:t>
      </w:r>
      <w:r>
        <w:rPr>
          <w:rFonts w:hint="eastAsia" w:ascii="宋体" w:hAnsi="宋体" w:eastAsia="宋体" w:cs="宋体"/>
          <w:color w:val="auto"/>
          <w:highlight w:val="none"/>
          <w:lang w:val="en-US" w:eastAsia="zh-CN"/>
        </w:rPr>
        <w:t>运输地点</w:t>
      </w:r>
      <w:r>
        <w:rPr>
          <w:rFonts w:hint="eastAsia" w:ascii="宋体" w:hAnsi="宋体" w:eastAsia="宋体" w:cs="宋体"/>
          <w:color w:val="auto"/>
          <w:highlight w:val="none"/>
        </w:rPr>
        <w:t>投标详见投标一览表。</w:t>
      </w:r>
    </w:p>
    <w:p w14:paraId="01337D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②如果在规定的开标时间后，投标人在投标有效期内撤回投标，其投标保证金将被贵方没收。</w:t>
      </w:r>
    </w:p>
    <w:p w14:paraId="58B2AB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③保证遵守招标文件中的有关规定。</w:t>
      </w:r>
    </w:p>
    <w:p w14:paraId="25208E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④保证忠实地执行买卖双方所签的经济合同，并承担合同规定的责任义务。</w:t>
      </w:r>
    </w:p>
    <w:p w14:paraId="607E40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⑤愿意向贵方提供任何与该项投标有关的数据、情况和技术资料，完全理解贵方不一定接受最低价的投标或收到的任何投标。</w:t>
      </w:r>
    </w:p>
    <w:p w14:paraId="5EC26CA2">
      <w:pPr>
        <w:spacing w:line="460" w:lineRule="exact"/>
        <w:ind w:right="17" w:firstLine="420"/>
        <w:rPr>
          <w:rFonts w:hint="eastAsia" w:ascii="宋体" w:hAnsi="宋体" w:eastAsia="宋体" w:cs="宋体"/>
          <w:color w:val="auto"/>
          <w:highlight w:val="none"/>
        </w:rPr>
      </w:pPr>
    </w:p>
    <w:p w14:paraId="6F386A1E">
      <w:pPr>
        <w:spacing w:line="460" w:lineRule="exact"/>
        <w:ind w:right="17"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3B09D40">
      <w:pPr>
        <w:spacing w:line="460" w:lineRule="exact"/>
        <w:ind w:right="15" w:firstLine="4840"/>
        <w:rPr>
          <w:rFonts w:hint="eastAsia" w:ascii="宋体" w:hAnsi="宋体" w:eastAsia="宋体" w:cs="宋体"/>
          <w:color w:val="auto"/>
          <w:highlight w:val="none"/>
        </w:rPr>
      </w:pPr>
    </w:p>
    <w:p w14:paraId="7AD847FC">
      <w:pPr>
        <w:spacing w:line="460" w:lineRule="exact"/>
        <w:ind w:right="15" w:firstLine="4840"/>
        <w:rPr>
          <w:rFonts w:hint="eastAsia" w:ascii="宋体" w:hAnsi="宋体" w:eastAsia="宋体" w:cs="宋体"/>
          <w:color w:val="auto"/>
          <w:highlight w:val="none"/>
        </w:rPr>
      </w:pPr>
    </w:p>
    <w:p w14:paraId="1CB972CB">
      <w:pPr>
        <w:spacing w:line="460" w:lineRule="exact"/>
        <w:ind w:right="15" w:firstLine="4840"/>
        <w:rPr>
          <w:rFonts w:hint="eastAsia" w:ascii="宋体" w:hAnsi="宋体" w:eastAsia="宋体" w:cs="宋体"/>
          <w:color w:val="auto"/>
          <w:highlight w:val="none"/>
        </w:rPr>
      </w:pPr>
    </w:p>
    <w:p w14:paraId="462E890F">
      <w:pPr>
        <w:spacing w:line="460" w:lineRule="exact"/>
        <w:ind w:right="15" w:firstLine="4840"/>
        <w:rPr>
          <w:rFonts w:hint="eastAsia" w:ascii="宋体" w:hAnsi="宋体" w:eastAsia="宋体" w:cs="宋体"/>
          <w:color w:val="auto"/>
          <w:highlight w:val="none"/>
        </w:rPr>
      </w:pPr>
    </w:p>
    <w:p w14:paraId="7BFC621A">
      <w:pPr>
        <w:spacing w:line="460" w:lineRule="exact"/>
        <w:ind w:right="15" w:firstLine="4840"/>
        <w:rPr>
          <w:rFonts w:hint="eastAsia" w:ascii="宋体" w:hAnsi="宋体" w:eastAsia="宋体" w:cs="宋体"/>
          <w:color w:val="auto"/>
          <w:highlight w:val="none"/>
        </w:rPr>
      </w:pPr>
      <w:r>
        <w:rPr>
          <w:rFonts w:hint="eastAsia" w:ascii="宋体" w:hAnsi="宋体" w:eastAsia="宋体" w:cs="宋体"/>
          <w:color w:val="auto"/>
          <w:highlight w:val="none"/>
        </w:rPr>
        <w:t>投标人法人公章：</w:t>
      </w:r>
    </w:p>
    <w:p w14:paraId="7ECA18C0">
      <w:pPr>
        <w:spacing w:line="460" w:lineRule="exact"/>
        <w:ind w:right="15" w:firstLine="494"/>
        <w:rPr>
          <w:rFonts w:hint="eastAsia" w:ascii="宋体" w:hAnsi="宋体" w:eastAsia="宋体" w:cs="宋体"/>
          <w:color w:val="auto"/>
          <w:highlight w:val="none"/>
        </w:rPr>
      </w:pPr>
    </w:p>
    <w:p w14:paraId="4C45A742">
      <w:pPr>
        <w:spacing w:line="460" w:lineRule="exact"/>
        <w:ind w:right="15" w:firstLine="4840"/>
        <w:rPr>
          <w:rFonts w:hint="eastAsia" w:ascii="宋体" w:hAnsi="宋体" w:eastAsia="宋体" w:cs="宋体"/>
          <w:color w:val="auto"/>
          <w:highlight w:val="none"/>
        </w:rPr>
      </w:pPr>
      <w:r>
        <w:rPr>
          <w:rFonts w:hint="eastAsia" w:ascii="宋体" w:hAnsi="宋体" w:eastAsia="宋体" w:cs="宋体"/>
          <w:color w:val="auto"/>
          <w:highlight w:val="none"/>
        </w:rPr>
        <w:t>投标人法定代表人印鉴：</w:t>
      </w:r>
    </w:p>
    <w:p w14:paraId="7C177D1E">
      <w:pPr>
        <w:spacing w:line="460" w:lineRule="exact"/>
        <w:ind w:right="15" w:firstLine="630"/>
        <w:rPr>
          <w:rFonts w:hint="eastAsia" w:ascii="宋体" w:hAnsi="宋体" w:eastAsia="宋体" w:cs="宋体"/>
          <w:color w:val="auto"/>
          <w:highlight w:val="none"/>
        </w:rPr>
      </w:pPr>
    </w:p>
    <w:p w14:paraId="669F615E">
      <w:pPr>
        <w:spacing w:line="460" w:lineRule="exact"/>
        <w:ind w:right="15" w:firstLine="630"/>
        <w:rPr>
          <w:rFonts w:hint="eastAsia" w:ascii="宋体" w:hAnsi="宋体" w:eastAsia="宋体" w:cs="宋体"/>
          <w:color w:val="auto"/>
          <w:highlight w:val="none"/>
        </w:rPr>
      </w:pPr>
    </w:p>
    <w:p w14:paraId="704FF5A7">
      <w:pPr>
        <w:snapToGrid w:val="0"/>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3034F895">
      <w:pPr>
        <w:pStyle w:val="2"/>
        <w:rPr>
          <w:rFonts w:hint="eastAsia" w:ascii="宋体" w:hAnsi="宋体" w:eastAsia="宋体" w:cs="宋体"/>
          <w:color w:val="auto"/>
          <w:highlight w:val="none"/>
        </w:rPr>
        <w:sectPr>
          <w:pgSz w:w="11906" w:h="16838"/>
          <w:pgMar w:top="1440" w:right="1066" w:bottom="1440" w:left="1800" w:header="851" w:footer="992" w:gutter="0"/>
          <w:pgNumType w:fmt="decimal"/>
          <w:cols w:space="425" w:num="1"/>
          <w:docGrid w:type="lines" w:linePitch="312" w:charSpace="0"/>
        </w:sectPr>
      </w:pPr>
    </w:p>
    <w:p w14:paraId="61851318">
      <w:pPr>
        <w:spacing w:line="340" w:lineRule="exact"/>
        <w:ind w:right="1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w:t>
      </w:r>
    </w:p>
    <w:p w14:paraId="6642CC0B">
      <w:pPr>
        <w:rPr>
          <w:rFonts w:hint="eastAsia" w:ascii="宋体" w:hAnsi="宋体" w:eastAsia="宋体" w:cs="宋体"/>
          <w:b/>
          <w:bCs/>
          <w:color w:val="auto"/>
          <w:sz w:val="30"/>
          <w:szCs w:val="30"/>
          <w:highlight w:val="none"/>
        </w:rPr>
      </w:pPr>
    </w:p>
    <w:p w14:paraId="64FD6868">
      <w:pPr>
        <w:spacing w:line="340" w:lineRule="exact"/>
        <w:ind w:right="17"/>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邀 请 函</w:t>
      </w:r>
    </w:p>
    <w:p w14:paraId="169BB385">
      <w:pPr>
        <w:spacing w:line="480" w:lineRule="auto"/>
        <w:rPr>
          <w:rFonts w:hint="eastAsia" w:ascii="宋体" w:hAnsi="宋体" w:eastAsia="宋体" w:cs="宋体"/>
          <w:color w:val="auto"/>
          <w:highlight w:val="none"/>
        </w:rPr>
      </w:pPr>
    </w:p>
    <w:p w14:paraId="6785ED3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尊敬的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DA9A17">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根据广西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r>
        <w:rPr>
          <w:rFonts w:hint="eastAsia" w:ascii="宋体" w:hAnsi="宋体" w:eastAsia="宋体" w:cs="宋体"/>
          <w:color w:val="auto"/>
          <w:highlight w:val="none"/>
          <w:lang w:val="en-US" w:eastAsia="zh-CN"/>
        </w:rPr>
        <w:t>运输招标</w:t>
      </w:r>
      <w:r>
        <w:rPr>
          <w:rFonts w:hint="eastAsia" w:ascii="宋体" w:hAnsi="宋体" w:eastAsia="宋体" w:cs="宋体"/>
          <w:color w:val="auto"/>
          <w:highlight w:val="none"/>
        </w:rPr>
        <w:t>管理办法，</w:t>
      </w:r>
      <w:r>
        <w:rPr>
          <w:rFonts w:hint="eastAsia" w:ascii="宋体" w:hAnsi="宋体" w:eastAsia="宋体" w:cs="宋体"/>
          <w:color w:val="auto"/>
          <w:highlight w:val="none"/>
          <w:lang w:val="en-US" w:eastAsia="zh-CN"/>
        </w:rPr>
        <w:t>销售部</w:t>
      </w:r>
      <w:r>
        <w:rPr>
          <w:rFonts w:hint="eastAsia" w:ascii="宋体" w:hAnsi="宋体" w:eastAsia="宋体" w:cs="宋体"/>
          <w:color w:val="auto"/>
          <w:highlight w:val="none"/>
        </w:rPr>
        <w:t>拟进行</w:t>
      </w:r>
      <w:r>
        <w:rPr>
          <w:rFonts w:hint="eastAsia" w:ascii="宋体" w:hAnsi="宋体" w:eastAsia="宋体" w:cs="宋体"/>
          <w:color w:val="auto"/>
          <w:highlight w:val="none"/>
          <w:lang w:val="en-US" w:eastAsia="zh-CN"/>
        </w:rPr>
        <w:t>水泥船舶运输业务</w:t>
      </w:r>
      <w:r>
        <w:rPr>
          <w:rFonts w:hint="eastAsia" w:ascii="宋体" w:hAnsi="宋体" w:eastAsia="宋体" w:cs="宋体"/>
          <w:color w:val="auto"/>
          <w:highlight w:val="none"/>
        </w:rPr>
        <w:t>招标，经研究决定，拟邀请贵公司参加</w:t>
      </w:r>
      <w:r>
        <w:rPr>
          <w:rFonts w:hint="eastAsia" w:ascii="宋体" w:hAnsi="宋体" w:eastAsia="宋体" w:cs="宋体"/>
          <w:color w:val="auto"/>
          <w:highlight w:val="none"/>
          <w:lang w:val="en-US" w:eastAsia="zh-CN"/>
        </w:rPr>
        <w:t>招标编号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投标，</w:t>
      </w:r>
      <w:r>
        <w:rPr>
          <w:rFonts w:hint="eastAsia" w:ascii="宋体" w:hAnsi="宋体" w:eastAsia="宋体" w:cs="宋体"/>
          <w:color w:val="auto"/>
          <w:highlight w:val="none"/>
          <w:lang w:val="en-US" w:eastAsia="zh-CN"/>
        </w:rPr>
        <w:t>船舶运输投标单价详见</w:t>
      </w:r>
      <w:r>
        <w:rPr>
          <w:rFonts w:hint="eastAsia" w:ascii="宋体" w:hAnsi="宋体" w:eastAsia="宋体" w:cs="宋体"/>
          <w:color w:val="auto"/>
          <w:highlight w:val="none"/>
        </w:rPr>
        <w:t>附件， 招标活动以我方通知为准，望届时参加。</w:t>
      </w:r>
    </w:p>
    <w:p w14:paraId="4830084E">
      <w:pPr>
        <w:pStyle w:val="8"/>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此致敬礼！</w:t>
      </w:r>
    </w:p>
    <w:p w14:paraId="64D3FA4E">
      <w:pPr>
        <w:spacing w:line="480" w:lineRule="auto"/>
        <w:rPr>
          <w:rFonts w:hint="eastAsia" w:ascii="宋体" w:hAnsi="宋体" w:eastAsia="宋体" w:cs="宋体"/>
          <w:color w:val="auto"/>
          <w:highlight w:val="none"/>
        </w:rPr>
      </w:pPr>
    </w:p>
    <w:p w14:paraId="4B7610D4">
      <w:pPr>
        <w:ind w:firstLine="420"/>
        <w:rPr>
          <w:rFonts w:hint="eastAsia" w:ascii="宋体" w:hAnsi="宋体" w:eastAsia="宋体" w:cs="宋体"/>
          <w:color w:val="auto"/>
          <w:highlight w:val="none"/>
        </w:rPr>
      </w:pPr>
    </w:p>
    <w:p w14:paraId="4884EFC9">
      <w:pPr>
        <w:ind w:firstLine="420"/>
        <w:rPr>
          <w:rFonts w:hint="eastAsia" w:ascii="宋体" w:hAnsi="宋体" w:eastAsia="宋体" w:cs="宋体"/>
          <w:color w:val="auto"/>
          <w:highlight w:val="none"/>
        </w:rPr>
      </w:pPr>
    </w:p>
    <w:p w14:paraId="436509CB">
      <w:pPr>
        <w:ind w:firstLine="29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3D1A9A9">
      <w:pPr>
        <w:ind w:firstLine="4305"/>
        <w:rPr>
          <w:rFonts w:hint="eastAsia" w:ascii="宋体" w:hAnsi="宋体" w:eastAsia="宋体" w:cs="宋体"/>
          <w:color w:val="auto"/>
          <w:highlight w:val="none"/>
        </w:rPr>
      </w:pPr>
    </w:p>
    <w:p w14:paraId="4CDA0CA8">
      <w:pPr>
        <w:ind w:firstLine="4305"/>
        <w:rPr>
          <w:rFonts w:hint="eastAsia" w:ascii="宋体" w:hAnsi="宋体" w:eastAsia="宋体" w:cs="宋体"/>
          <w:color w:val="auto"/>
          <w:highlight w:val="none"/>
        </w:rPr>
      </w:pPr>
    </w:p>
    <w:p w14:paraId="3E5E5CEA">
      <w:pPr>
        <w:ind w:firstLine="4305"/>
        <w:rPr>
          <w:rFonts w:hint="eastAsia" w:ascii="宋体" w:hAnsi="宋体" w:eastAsia="宋体" w:cs="宋体"/>
          <w:color w:val="auto"/>
          <w:highlight w:val="none"/>
        </w:rPr>
      </w:pPr>
    </w:p>
    <w:p w14:paraId="78147C13">
      <w:pPr>
        <w:ind w:firstLine="4830" w:firstLineChars="2300"/>
        <w:rPr>
          <w:rFonts w:hint="eastAsia" w:ascii="宋体" w:hAnsi="宋体" w:eastAsia="宋体" w:cs="宋体"/>
          <w:color w:val="auto"/>
          <w:highlight w:val="none"/>
        </w:rPr>
      </w:pPr>
      <w:r>
        <w:rPr>
          <w:rFonts w:hint="eastAsia" w:ascii="宋体" w:hAnsi="宋体" w:eastAsia="宋体" w:cs="宋体"/>
          <w:color w:val="auto"/>
          <w:highlight w:val="none"/>
        </w:rPr>
        <w:t>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p>
    <w:p w14:paraId="77427E9F">
      <w:pPr>
        <w:ind w:firstLine="37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307BE7C">
      <w:pPr>
        <w:ind w:firstLine="525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69444970">
      <w:pPr>
        <w:rPr>
          <w:rFonts w:hint="eastAsia" w:ascii="宋体" w:hAnsi="宋体" w:eastAsia="宋体" w:cs="宋体"/>
          <w:color w:val="auto"/>
          <w:highlight w:val="none"/>
        </w:rPr>
      </w:pPr>
    </w:p>
    <w:p w14:paraId="5DFBE53D">
      <w:pPr>
        <w:rPr>
          <w:rFonts w:hint="eastAsia" w:ascii="宋体" w:hAnsi="宋体" w:eastAsia="宋体" w:cs="宋体"/>
          <w:color w:val="auto"/>
          <w:highlight w:val="none"/>
        </w:rPr>
      </w:pPr>
    </w:p>
    <w:p w14:paraId="690EEFC4">
      <w:pPr>
        <w:rPr>
          <w:rFonts w:hint="eastAsia" w:ascii="宋体" w:hAnsi="宋体" w:eastAsia="宋体" w:cs="宋体"/>
          <w:color w:val="auto"/>
          <w:highlight w:val="none"/>
        </w:rPr>
      </w:pPr>
    </w:p>
    <w:p w14:paraId="578DA625">
      <w:pPr>
        <w:rPr>
          <w:rFonts w:hint="eastAsia" w:ascii="宋体" w:hAnsi="宋体" w:eastAsia="宋体" w:cs="宋体"/>
          <w:color w:val="auto"/>
          <w:highlight w:val="none"/>
        </w:rPr>
      </w:pPr>
    </w:p>
    <w:p w14:paraId="655BEF72">
      <w:pPr>
        <w:rPr>
          <w:rFonts w:hint="eastAsia" w:ascii="宋体" w:hAnsi="宋体" w:eastAsia="宋体" w:cs="宋体"/>
          <w:color w:val="auto"/>
          <w:highlight w:val="none"/>
        </w:rPr>
      </w:pPr>
    </w:p>
    <w:p w14:paraId="4ACADCDA">
      <w:pPr>
        <w:rPr>
          <w:rFonts w:hint="eastAsia" w:ascii="宋体" w:hAnsi="宋体" w:eastAsia="宋体" w:cs="宋体"/>
          <w:color w:val="auto"/>
          <w:highlight w:val="none"/>
        </w:rPr>
      </w:pPr>
    </w:p>
    <w:p w14:paraId="4476E0E3">
      <w:pPr>
        <w:rPr>
          <w:rFonts w:hint="eastAsia" w:ascii="宋体" w:hAnsi="宋体" w:eastAsia="宋体" w:cs="宋体"/>
          <w:color w:val="auto"/>
          <w:highlight w:val="none"/>
        </w:rPr>
      </w:pPr>
    </w:p>
    <w:p w14:paraId="4DA2DEF9">
      <w:pPr>
        <w:rPr>
          <w:rFonts w:hint="eastAsia" w:ascii="宋体" w:hAnsi="宋体" w:eastAsia="宋体" w:cs="宋体"/>
          <w:color w:val="auto"/>
          <w:highlight w:val="none"/>
        </w:rPr>
      </w:pPr>
    </w:p>
    <w:p w14:paraId="59163914">
      <w:pPr>
        <w:rPr>
          <w:rFonts w:hint="eastAsia" w:ascii="宋体" w:hAnsi="宋体" w:eastAsia="宋体" w:cs="宋体"/>
          <w:color w:val="auto"/>
          <w:highlight w:val="none"/>
        </w:rPr>
      </w:pPr>
    </w:p>
    <w:p w14:paraId="7F359D1C">
      <w:pPr>
        <w:rPr>
          <w:rFonts w:hint="eastAsia" w:ascii="宋体" w:hAnsi="宋体" w:eastAsia="宋体" w:cs="宋体"/>
          <w:color w:val="auto"/>
          <w:highlight w:val="none"/>
        </w:rPr>
      </w:pPr>
    </w:p>
    <w:p w14:paraId="7101243E">
      <w:pPr>
        <w:rPr>
          <w:rFonts w:hint="eastAsia" w:ascii="宋体" w:hAnsi="宋体" w:eastAsia="宋体" w:cs="宋体"/>
          <w:color w:val="auto"/>
          <w:highlight w:val="none"/>
        </w:rPr>
      </w:pPr>
    </w:p>
    <w:p w14:paraId="6757628C">
      <w:pPr>
        <w:rPr>
          <w:rFonts w:hint="eastAsia" w:ascii="宋体" w:hAnsi="宋体" w:eastAsia="宋体" w:cs="宋体"/>
          <w:color w:val="auto"/>
          <w:highlight w:val="none"/>
        </w:rPr>
      </w:pPr>
    </w:p>
    <w:p w14:paraId="2640B451">
      <w:pPr>
        <w:rPr>
          <w:rFonts w:hint="eastAsia" w:ascii="宋体" w:hAnsi="宋体" w:eastAsia="宋体" w:cs="宋体"/>
          <w:color w:val="auto"/>
          <w:highlight w:val="none"/>
        </w:rPr>
      </w:pPr>
    </w:p>
    <w:p w14:paraId="0C3A8A5B">
      <w:pPr>
        <w:rPr>
          <w:rFonts w:hint="eastAsia" w:ascii="宋体" w:hAnsi="宋体" w:eastAsia="宋体" w:cs="宋体"/>
          <w:color w:val="auto"/>
          <w:highlight w:val="none"/>
        </w:rPr>
      </w:pPr>
    </w:p>
    <w:p w14:paraId="2BB6293B">
      <w:pPr>
        <w:rPr>
          <w:rFonts w:hint="eastAsia" w:ascii="宋体" w:hAnsi="宋体" w:eastAsia="宋体" w:cs="宋体"/>
          <w:color w:val="auto"/>
          <w:highlight w:val="none"/>
        </w:rPr>
      </w:pPr>
    </w:p>
    <w:p w14:paraId="0F5712E7">
      <w:pPr>
        <w:rPr>
          <w:rFonts w:hint="eastAsia" w:ascii="宋体" w:hAnsi="宋体" w:eastAsia="宋体" w:cs="宋体"/>
          <w:color w:val="auto"/>
          <w:highlight w:val="none"/>
        </w:rPr>
      </w:pPr>
    </w:p>
    <w:p w14:paraId="03A048E4">
      <w:pPr>
        <w:rPr>
          <w:rFonts w:hint="eastAsia" w:ascii="宋体" w:hAnsi="宋体" w:eastAsia="宋体" w:cs="宋体"/>
          <w:color w:val="auto"/>
          <w:highlight w:val="none"/>
        </w:rPr>
      </w:pPr>
    </w:p>
    <w:p w14:paraId="4C4B4A2A">
      <w:pPr>
        <w:rPr>
          <w:rFonts w:hint="eastAsia" w:ascii="宋体" w:hAnsi="宋体" w:eastAsia="宋体" w:cs="宋体"/>
          <w:color w:val="auto"/>
          <w:szCs w:val="21"/>
          <w:highlight w:val="none"/>
        </w:rPr>
      </w:pPr>
    </w:p>
    <w:p w14:paraId="5431F16B">
      <w:pPr>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p>
    <w:p w14:paraId="1F1BD874">
      <w:pPr>
        <w:rPr>
          <w:rFonts w:hint="eastAsia" w:ascii="宋体" w:hAnsi="宋体" w:eastAsia="宋体" w:cs="宋体"/>
          <w:color w:val="auto"/>
          <w:sz w:val="30"/>
          <w:szCs w:val="30"/>
          <w:highlight w:val="none"/>
        </w:rPr>
      </w:pPr>
    </w:p>
    <w:p w14:paraId="2F363A7D">
      <w:pPr>
        <w:spacing w:after="240" w:line="480" w:lineRule="auto"/>
        <w:ind w:right="17"/>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广西</w:t>
      </w:r>
      <w:r>
        <w:rPr>
          <w:rFonts w:hint="eastAsia" w:ascii="宋体" w:hAnsi="宋体" w:eastAsia="宋体" w:cs="宋体"/>
          <w:b/>
          <w:bCs/>
          <w:color w:val="auto"/>
          <w:sz w:val="30"/>
          <w:szCs w:val="30"/>
          <w:highlight w:val="none"/>
          <w:lang w:eastAsia="zh-CN"/>
        </w:rPr>
        <w:t>京兰</w:t>
      </w:r>
      <w:r>
        <w:rPr>
          <w:rFonts w:hint="eastAsia" w:ascii="宋体" w:hAnsi="宋体" w:eastAsia="宋体" w:cs="宋体"/>
          <w:b/>
          <w:bCs/>
          <w:color w:val="auto"/>
          <w:sz w:val="30"/>
          <w:szCs w:val="30"/>
          <w:highlight w:val="none"/>
        </w:rPr>
        <w:t>水泥有限公司</w:t>
      </w:r>
      <w:r>
        <w:rPr>
          <w:rFonts w:hint="eastAsia" w:ascii="宋体" w:hAnsi="宋体" w:eastAsia="宋体" w:cs="宋体"/>
          <w:b/>
          <w:bCs/>
          <w:color w:val="auto"/>
          <w:sz w:val="30"/>
          <w:szCs w:val="30"/>
          <w:highlight w:val="none"/>
          <w:lang w:val="en-US" w:eastAsia="zh-CN"/>
        </w:rPr>
        <w:t>船运费用</w:t>
      </w:r>
      <w:r>
        <w:rPr>
          <w:rFonts w:hint="eastAsia" w:ascii="宋体" w:hAnsi="宋体" w:eastAsia="宋体" w:cs="宋体"/>
          <w:b/>
          <w:bCs/>
          <w:color w:val="auto"/>
          <w:sz w:val="30"/>
          <w:szCs w:val="30"/>
          <w:highlight w:val="none"/>
        </w:rPr>
        <w:t>投标报价清单</w:t>
      </w:r>
    </w:p>
    <w:tbl>
      <w:tblPr>
        <w:tblStyle w:val="16"/>
        <w:tblpPr w:leftFromText="180" w:rightFromText="180" w:vertAnchor="text" w:horzAnchor="page" w:tblpX="1691" w:tblpY="375"/>
        <w:tblOverlap w:val="never"/>
        <w:tblW w:w="9417" w:type="dxa"/>
        <w:tblInd w:w="0" w:type="dxa"/>
        <w:tblLayout w:type="fixed"/>
        <w:tblCellMar>
          <w:top w:w="0" w:type="dxa"/>
          <w:left w:w="108" w:type="dxa"/>
          <w:bottom w:w="0" w:type="dxa"/>
          <w:right w:w="108" w:type="dxa"/>
        </w:tblCellMar>
      </w:tblPr>
      <w:tblGrid>
        <w:gridCol w:w="948"/>
        <w:gridCol w:w="1219"/>
        <w:gridCol w:w="1375"/>
        <w:gridCol w:w="3932"/>
        <w:gridCol w:w="1157"/>
        <w:gridCol w:w="786"/>
      </w:tblGrid>
      <w:tr w14:paraId="1123E568">
        <w:tblPrEx>
          <w:tblCellMar>
            <w:top w:w="0" w:type="dxa"/>
            <w:left w:w="108" w:type="dxa"/>
            <w:bottom w:w="0" w:type="dxa"/>
            <w:right w:w="108" w:type="dxa"/>
          </w:tblCellMar>
        </w:tblPrEx>
        <w:trPr>
          <w:trHeight w:val="826"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93A16B9">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类型</w:t>
            </w:r>
          </w:p>
        </w:tc>
        <w:tc>
          <w:tcPr>
            <w:tcW w:w="1219" w:type="dxa"/>
            <w:tcBorders>
              <w:top w:val="single" w:color="auto" w:sz="4" w:space="0"/>
              <w:left w:val="nil"/>
              <w:bottom w:val="single" w:color="auto" w:sz="4" w:space="0"/>
              <w:right w:val="single" w:color="auto" w:sz="4" w:space="0"/>
            </w:tcBorders>
            <w:shd w:val="clear" w:color="auto" w:fill="auto"/>
            <w:vAlign w:val="center"/>
          </w:tcPr>
          <w:p w14:paraId="1CD9E390">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物料</w:t>
            </w:r>
          </w:p>
        </w:tc>
        <w:tc>
          <w:tcPr>
            <w:tcW w:w="1375" w:type="dxa"/>
            <w:tcBorders>
              <w:top w:val="single" w:color="auto" w:sz="4" w:space="0"/>
              <w:left w:val="nil"/>
              <w:bottom w:val="single" w:color="auto" w:sz="4" w:space="0"/>
              <w:right w:val="single" w:color="auto" w:sz="4" w:space="0"/>
            </w:tcBorders>
            <w:shd w:val="clear" w:color="auto" w:fill="auto"/>
            <w:vAlign w:val="center"/>
          </w:tcPr>
          <w:p w14:paraId="5D69F839">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起运港</w:t>
            </w:r>
          </w:p>
        </w:tc>
        <w:tc>
          <w:tcPr>
            <w:tcW w:w="3932" w:type="dxa"/>
            <w:tcBorders>
              <w:top w:val="single" w:color="auto" w:sz="4" w:space="0"/>
              <w:left w:val="nil"/>
              <w:bottom w:val="single" w:color="auto" w:sz="4" w:space="0"/>
              <w:right w:val="single" w:color="auto" w:sz="4" w:space="0"/>
            </w:tcBorders>
            <w:shd w:val="clear" w:color="auto" w:fill="auto"/>
            <w:vAlign w:val="center"/>
          </w:tcPr>
          <w:p w14:paraId="64B67F91">
            <w:pPr>
              <w:widowControl/>
              <w:jc w:val="center"/>
              <w:rPr>
                <w:rFonts w:hint="eastAsia" w:ascii="宋体" w:hAnsi="宋体" w:eastAsia="宋体" w:cs="宋体"/>
                <w:b/>
                <w:bCs w:val="0"/>
                <w:snapToGrid w:val="0"/>
                <w:color w:val="auto"/>
                <w:kern w:val="0"/>
                <w:sz w:val="18"/>
                <w:szCs w:val="18"/>
                <w:highlight w:val="none"/>
              </w:rPr>
            </w:pPr>
            <w:r>
              <w:rPr>
                <w:rFonts w:hint="eastAsia" w:ascii="宋体" w:hAnsi="宋体" w:eastAsia="宋体" w:cs="宋体"/>
                <w:b/>
                <w:bCs w:val="0"/>
                <w:snapToGrid w:val="0"/>
                <w:color w:val="auto"/>
                <w:kern w:val="0"/>
                <w:sz w:val="18"/>
                <w:szCs w:val="18"/>
                <w:highlight w:val="none"/>
              </w:rPr>
              <w:t>卸货港</w:t>
            </w:r>
          </w:p>
        </w:tc>
        <w:tc>
          <w:tcPr>
            <w:tcW w:w="1157" w:type="dxa"/>
            <w:tcBorders>
              <w:top w:val="single" w:color="auto" w:sz="4" w:space="0"/>
              <w:left w:val="nil"/>
              <w:bottom w:val="single" w:color="auto" w:sz="4" w:space="0"/>
              <w:right w:val="single" w:color="auto" w:sz="4" w:space="0"/>
            </w:tcBorders>
            <w:shd w:val="clear" w:color="auto" w:fill="auto"/>
            <w:vAlign w:val="top"/>
          </w:tcPr>
          <w:p w14:paraId="74DFB6BA">
            <w:pPr>
              <w:widowControl/>
              <w:jc w:val="center"/>
              <w:rPr>
                <w:rFonts w:hint="eastAsia" w:ascii="宋体" w:hAnsi="宋体" w:eastAsia="宋体" w:cs="宋体"/>
                <w:b/>
                <w:bCs w:val="0"/>
                <w:snapToGrid w:val="0"/>
                <w:color w:val="auto"/>
                <w:kern w:val="0"/>
                <w:sz w:val="18"/>
                <w:szCs w:val="18"/>
                <w:highlight w:val="none"/>
                <w:lang w:val="en-US" w:eastAsia="zh-CN"/>
              </w:rPr>
            </w:pPr>
            <w:r>
              <w:rPr>
                <w:rFonts w:hint="eastAsia" w:ascii="宋体" w:hAnsi="宋体" w:eastAsia="宋体" w:cs="宋体"/>
                <w:b/>
                <w:bCs w:val="0"/>
                <w:snapToGrid w:val="0"/>
                <w:color w:val="auto"/>
                <w:kern w:val="0"/>
                <w:sz w:val="18"/>
                <w:szCs w:val="18"/>
                <w:highlight w:val="none"/>
                <w:lang w:val="en-US" w:eastAsia="zh-CN"/>
              </w:rPr>
              <w:t>船运单价</w:t>
            </w:r>
          </w:p>
          <w:p w14:paraId="60CA8596">
            <w:pPr>
              <w:widowControl/>
              <w:jc w:val="center"/>
              <w:rPr>
                <w:rFonts w:hint="eastAsia" w:ascii="宋体" w:hAnsi="宋体" w:eastAsia="宋体" w:cs="宋体"/>
                <w:b/>
                <w:bCs w:val="0"/>
                <w:snapToGrid w:val="0"/>
                <w:color w:val="auto"/>
                <w:kern w:val="0"/>
                <w:sz w:val="18"/>
                <w:szCs w:val="18"/>
                <w:highlight w:val="none"/>
                <w:lang w:val="en-US" w:eastAsia="zh-CN" w:bidi="ar-SA"/>
              </w:rPr>
            </w:pPr>
            <w:r>
              <w:rPr>
                <w:rFonts w:hint="eastAsia" w:ascii="宋体" w:hAnsi="宋体" w:eastAsia="宋体" w:cs="宋体"/>
                <w:b/>
                <w:bCs w:val="0"/>
                <w:snapToGrid w:val="0"/>
                <w:color w:val="auto"/>
                <w:kern w:val="0"/>
                <w:sz w:val="18"/>
                <w:szCs w:val="18"/>
                <w:highlight w:val="none"/>
              </w:rPr>
              <w:t>（元/吨）</w:t>
            </w:r>
          </w:p>
        </w:tc>
        <w:tc>
          <w:tcPr>
            <w:tcW w:w="786" w:type="dxa"/>
            <w:tcBorders>
              <w:top w:val="single" w:color="auto" w:sz="4" w:space="0"/>
              <w:left w:val="nil"/>
              <w:bottom w:val="single" w:color="auto" w:sz="4" w:space="0"/>
              <w:right w:val="single" w:color="auto" w:sz="4" w:space="0"/>
            </w:tcBorders>
            <w:shd w:val="clear" w:color="auto" w:fill="auto"/>
            <w:vAlign w:val="center"/>
          </w:tcPr>
          <w:p w14:paraId="34F0F33B">
            <w:pPr>
              <w:widowControl/>
              <w:jc w:val="center"/>
              <w:rPr>
                <w:rFonts w:hint="eastAsia" w:ascii="宋体" w:hAnsi="宋体" w:eastAsia="宋体" w:cs="宋体"/>
                <w:b/>
                <w:bCs w:val="0"/>
                <w:snapToGrid w:val="0"/>
                <w:color w:val="auto"/>
                <w:kern w:val="0"/>
                <w:sz w:val="18"/>
                <w:szCs w:val="18"/>
                <w:highlight w:val="none"/>
                <w:lang w:val="en-US" w:eastAsia="zh-CN"/>
              </w:rPr>
            </w:pPr>
            <w:r>
              <w:rPr>
                <w:rFonts w:hint="eastAsia" w:ascii="宋体" w:hAnsi="宋体" w:eastAsia="宋体" w:cs="宋体"/>
                <w:b/>
                <w:bCs w:val="0"/>
                <w:snapToGrid w:val="0"/>
                <w:color w:val="auto"/>
                <w:kern w:val="0"/>
                <w:sz w:val="18"/>
                <w:szCs w:val="18"/>
                <w:highlight w:val="none"/>
                <w:lang w:val="en-US" w:eastAsia="zh-CN"/>
              </w:rPr>
              <w:t>税率</w:t>
            </w:r>
          </w:p>
        </w:tc>
      </w:tr>
      <w:tr w14:paraId="474872D0">
        <w:tblPrEx>
          <w:tblCellMar>
            <w:top w:w="0" w:type="dxa"/>
            <w:left w:w="108" w:type="dxa"/>
            <w:bottom w:w="0" w:type="dxa"/>
            <w:right w:w="108" w:type="dxa"/>
          </w:tblCellMar>
        </w:tblPrEx>
        <w:trPr>
          <w:trHeight w:val="423" w:hRule="atLeast"/>
        </w:trPr>
        <w:tc>
          <w:tcPr>
            <w:tcW w:w="948" w:type="dxa"/>
            <w:vMerge w:val="restart"/>
            <w:tcBorders>
              <w:top w:val="single" w:color="auto" w:sz="4" w:space="0"/>
              <w:left w:val="single" w:color="auto" w:sz="4" w:space="0"/>
              <w:right w:val="single" w:color="auto" w:sz="4" w:space="0"/>
            </w:tcBorders>
            <w:shd w:val="clear" w:color="auto" w:fill="auto"/>
            <w:noWrap/>
            <w:vAlign w:val="center"/>
          </w:tcPr>
          <w:p w14:paraId="6288B053">
            <w:pPr>
              <w:widowControl/>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下航</w:t>
            </w:r>
          </w:p>
        </w:tc>
        <w:tc>
          <w:tcPr>
            <w:tcW w:w="1219" w:type="dxa"/>
            <w:vMerge w:val="restart"/>
            <w:tcBorders>
              <w:top w:val="single" w:color="auto" w:sz="4" w:space="0"/>
              <w:left w:val="single" w:color="auto" w:sz="4" w:space="0"/>
              <w:right w:val="single" w:color="auto" w:sz="4" w:space="0"/>
            </w:tcBorders>
            <w:shd w:val="clear" w:color="auto" w:fill="auto"/>
            <w:vAlign w:val="center"/>
          </w:tcPr>
          <w:p w14:paraId="5E28E3FC">
            <w:pPr>
              <w:widowControl/>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水泥/熟料</w:t>
            </w:r>
          </w:p>
        </w:tc>
        <w:tc>
          <w:tcPr>
            <w:tcW w:w="1375" w:type="dxa"/>
            <w:vMerge w:val="restart"/>
            <w:tcBorders>
              <w:top w:val="single" w:color="auto" w:sz="4" w:space="0"/>
              <w:left w:val="single" w:color="auto" w:sz="4" w:space="0"/>
              <w:right w:val="single" w:color="auto" w:sz="4" w:space="0"/>
            </w:tcBorders>
            <w:shd w:val="clear" w:color="auto" w:fill="auto"/>
            <w:vAlign w:val="center"/>
          </w:tcPr>
          <w:p w14:paraId="36307D49">
            <w:pPr>
              <w:widowControl/>
              <w:jc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武宣</w:t>
            </w:r>
          </w:p>
          <w:p w14:paraId="559A5C5E">
            <w:pPr>
              <w:widowControl/>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新东运</w:t>
            </w:r>
            <w:r>
              <w:rPr>
                <w:rFonts w:hint="eastAsia" w:ascii="宋体" w:hAnsi="宋体" w:eastAsia="宋体" w:cs="宋体"/>
                <w:bCs/>
                <w:snapToGrid w:val="0"/>
                <w:color w:val="auto"/>
                <w:kern w:val="0"/>
                <w:sz w:val="21"/>
                <w:szCs w:val="21"/>
                <w:highlight w:val="none"/>
              </w:rPr>
              <w:t>码头</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126221D">
            <w:pPr>
              <w:widowControl/>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肇庆</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四会、广隆</w:t>
            </w:r>
            <w:r>
              <w:rPr>
                <w:rFonts w:hint="eastAsia" w:hAnsi="宋体" w:cs="宋体"/>
                <w:bCs/>
                <w:snapToGrid w:val="0"/>
                <w:color w:val="auto"/>
                <w:kern w:val="0"/>
                <w:sz w:val="21"/>
                <w:szCs w:val="21"/>
                <w:highlight w:val="none"/>
                <w:lang w:eastAsia="zh-CN"/>
              </w:rPr>
              <w:t>）</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96AAFAB">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8956175">
            <w:pPr>
              <w:jc w:val="center"/>
              <w:rPr>
                <w:rFonts w:hint="eastAsia" w:ascii="宋体" w:hAnsi="宋体" w:eastAsia="宋体" w:cs="宋体"/>
                <w:bCs/>
                <w:snapToGrid w:val="0"/>
                <w:color w:val="auto"/>
                <w:kern w:val="0"/>
                <w:sz w:val="21"/>
                <w:szCs w:val="21"/>
                <w:highlight w:val="none"/>
              </w:rPr>
            </w:pPr>
          </w:p>
        </w:tc>
      </w:tr>
      <w:tr w14:paraId="690B4E96">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3737992A">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197DC573">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665C6035">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5EF82FA8">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广州、佛山</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112BC643">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903B264">
            <w:pPr>
              <w:jc w:val="center"/>
              <w:rPr>
                <w:rFonts w:hint="eastAsia" w:ascii="宋体" w:hAnsi="宋体" w:eastAsia="宋体" w:cs="宋体"/>
                <w:bCs/>
                <w:snapToGrid w:val="0"/>
                <w:color w:val="auto"/>
                <w:kern w:val="0"/>
                <w:sz w:val="21"/>
                <w:szCs w:val="21"/>
                <w:highlight w:val="none"/>
              </w:rPr>
            </w:pPr>
          </w:p>
        </w:tc>
      </w:tr>
      <w:tr w14:paraId="2E727698">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462DF573">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shd w:val="clear" w:color="auto" w:fill="auto"/>
            <w:vAlign w:val="center"/>
          </w:tcPr>
          <w:p w14:paraId="71FFC46C">
            <w:pPr>
              <w:widowControl/>
              <w:jc w:val="center"/>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shd w:val="clear" w:color="auto" w:fill="auto"/>
            <w:vAlign w:val="center"/>
          </w:tcPr>
          <w:p w14:paraId="652C2C4E">
            <w:pPr>
              <w:widowControl/>
              <w:jc w:val="center"/>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0D5C8863">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东莞</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7D3D8E0">
            <w:pPr>
              <w:jc w:val="center"/>
              <w:rPr>
                <w:rFonts w:hint="eastAsia" w:ascii="宋体" w:hAnsi="宋体" w:eastAsia="宋体" w:cs="宋体"/>
                <w:bCs/>
                <w:snapToGrid w:val="0"/>
                <w:color w:val="auto"/>
                <w:kern w:val="0"/>
                <w:sz w:val="21"/>
                <w:szCs w:val="21"/>
                <w:highlight w:val="none"/>
                <w:lang w:val="en-US" w:eastAsia="zh-CN"/>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D5739C5">
            <w:pPr>
              <w:jc w:val="center"/>
              <w:rPr>
                <w:rFonts w:hint="eastAsia" w:ascii="宋体" w:hAnsi="宋体" w:eastAsia="宋体" w:cs="宋体"/>
                <w:bCs/>
                <w:snapToGrid w:val="0"/>
                <w:color w:val="auto"/>
                <w:kern w:val="0"/>
                <w:sz w:val="21"/>
                <w:szCs w:val="21"/>
                <w:highlight w:val="none"/>
                <w:lang w:val="en-US" w:eastAsia="zh-CN"/>
              </w:rPr>
            </w:pPr>
          </w:p>
        </w:tc>
      </w:tr>
      <w:tr w14:paraId="6A9F2D42">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51D3AC07">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5EA47DD9">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051CE1C9">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78B8580">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中山、珠海、江门</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3A945521">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166EEC3B">
            <w:pPr>
              <w:jc w:val="center"/>
              <w:rPr>
                <w:rFonts w:hint="eastAsia" w:ascii="宋体" w:hAnsi="宋体" w:eastAsia="宋体" w:cs="宋体"/>
                <w:bCs/>
                <w:snapToGrid w:val="0"/>
                <w:color w:val="auto"/>
                <w:kern w:val="0"/>
                <w:sz w:val="21"/>
                <w:szCs w:val="21"/>
                <w:highlight w:val="none"/>
              </w:rPr>
            </w:pPr>
          </w:p>
        </w:tc>
      </w:tr>
      <w:tr w14:paraId="1E0D38F6">
        <w:tblPrEx>
          <w:tblCellMar>
            <w:top w:w="0" w:type="dxa"/>
            <w:left w:w="108" w:type="dxa"/>
            <w:bottom w:w="0" w:type="dxa"/>
            <w:right w:w="108" w:type="dxa"/>
          </w:tblCellMar>
        </w:tblPrEx>
        <w:trPr>
          <w:trHeight w:val="826" w:hRule="atLeast"/>
        </w:trPr>
        <w:tc>
          <w:tcPr>
            <w:tcW w:w="948" w:type="dxa"/>
            <w:vMerge w:val="continue"/>
            <w:tcBorders>
              <w:left w:val="single" w:color="auto" w:sz="4" w:space="0"/>
              <w:right w:val="single" w:color="auto" w:sz="4" w:space="0"/>
            </w:tcBorders>
            <w:vAlign w:val="center"/>
          </w:tcPr>
          <w:p w14:paraId="1A45AF1E">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shd w:val="clear" w:color="auto" w:fill="auto"/>
            <w:noWrap/>
            <w:vAlign w:val="center"/>
          </w:tcPr>
          <w:p w14:paraId="237B829F">
            <w:pPr>
              <w:widowControl/>
              <w:jc w:val="center"/>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shd w:val="clear" w:color="auto" w:fill="auto"/>
            <w:noWrap/>
            <w:vAlign w:val="center"/>
          </w:tcPr>
          <w:p w14:paraId="3433C97A">
            <w:pPr>
              <w:widowControl/>
              <w:jc w:val="center"/>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2140B042">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广州</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番禺水泥厂、番禺沙尾、长亨达路源、东涌，佛山</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杏坛冠祥</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7E53351">
            <w:pPr>
              <w:jc w:val="cente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5A8BB44">
            <w:pPr>
              <w:jc w:val="center"/>
              <w:rPr>
                <w:rFonts w:hint="eastAsia" w:ascii="宋体" w:hAnsi="宋体" w:eastAsia="宋体" w:cs="宋体"/>
                <w:bCs/>
                <w:snapToGrid w:val="0"/>
                <w:color w:val="auto"/>
                <w:kern w:val="0"/>
                <w:sz w:val="21"/>
                <w:szCs w:val="21"/>
                <w:highlight w:val="none"/>
              </w:rPr>
            </w:pPr>
          </w:p>
        </w:tc>
      </w:tr>
      <w:tr w14:paraId="6A0D6A63">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0D1BEBDD">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6AF66AD3">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0DA023F7">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05AC6BB1">
            <w:pPr>
              <w:widowControl/>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深圳</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福永桥外、综合港</w:t>
            </w:r>
            <w:r>
              <w:rPr>
                <w:rFonts w:hint="eastAsia" w:hAnsi="宋体" w:cs="宋体"/>
                <w:bCs/>
                <w:snapToGrid w:val="0"/>
                <w:color w:val="auto"/>
                <w:kern w:val="0"/>
                <w:sz w:val="21"/>
                <w:szCs w:val="21"/>
                <w:highlight w:val="none"/>
                <w:lang w:eastAsia="zh-CN"/>
              </w:rPr>
              <w:t>）</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7397E8D7">
            <w:pP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60CBBDD">
            <w:pPr>
              <w:rPr>
                <w:rFonts w:hint="eastAsia" w:ascii="宋体" w:hAnsi="宋体" w:eastAsia="宋体" w:cs="宋体"/>
                <w:bCs/>
                <w:snapToGrid w:val="0"/>
                <w:color w:val="auto"/>
                <w:kern w:val="0"/>
                <w:sz w:val="21"/>
                <w:szCs w:val="21"/>
                <w:highlight w:val="none"/>
              </w:rPr>
            </w:pPr>
          </w:p>
        </w:tc>
      </w:tr>
      <w:tr w14:paraId="76B545E0">
        <w:tblPrEx>
          <w:tblCellMar>
            <w:top w:w="0" w:type="dxa"/>
            <w:left w:w="108" w:type="dxa"/>
            <w:bottom w:w="0" w:type="dxa"/>
            <w:right w:w="108" w:type="dxa"/>
          </w:tblCellMar>
        </w:tblPrEx>
        <w:trPr>
          <w:trHeight w:val="423" w:hRule="atLeast"/>
        </w:trPr>
        <w:tc>
          <w:tcPr>
            <w:tcW w:w="948" w:type="dxa"/>
            <w:vMerge w:val="continue"/>
            <w:tcBorders>
              <w:left w:val="single" w:color="auto" w:sz="4" w:space="0"/>
              <w:right w:val="single" w:color="auto" w:sz="4" w:space="0"/>
            </w:tcBorders>
            <w:vAlign w:val="center"/>
          </w:tcPr>
          <w:p w14:paraId="537273C5">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right w:val="single" w:color="auto" w:sz="4" w:space="0"/>
            </w:tcBorders>
            <w:vAlign w:val="center"/>
          </w:tcPr>
          <w:p w14:paraId="0B39BB47">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right w:val="single" w:color="auto" w:sz="4" w:space="0"/>
            </w:tcBorders>
            <w:vAlign w:val="center"/>
          </w:tcPr>
          <w:p w14:paraId="7140C1F9">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043BF">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深圳福永桥内、广州花都</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FC12C">
            <w:pP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1A517">
            <w:pPr>
              <w:rPr>
                <w:rFonts w:hint="eastAsia" w:ascii="宋体" w:hAnsi="宋体" w:eastAsia="宋体" w:cs="宋体"/>
                <w:bCs/>
                <w:snapToGrid w:val="0"/>
                <w:color w:val="auto"/>
                <w:kern w:val="0"/>
                <w:sz w:val="21"/>
                <w:szCs w:val="21"/>
                <w:highlight w:val="none"/>
              </w:rPr>
            </w:pPr>
          </w:p>
        </w:tc>
      </w:tr>
      <w:tr w14:paraId="48007FF5">
        <w:tblPrEx>
          <w:tblCellMar>
            <w:top w:w="0" w:type="dxa"/>
            <w:left w:w="108" w:type="dxa"/>
            <w:bottom w:w="0" w:type="dxa"/>
            <w:right w:w="108" w:type="dxa"/>
          </w:tblCellMar>
        </w:tblPrEx>
        <w:trPr>
          <w:trHeight w:val="1954" w:hRule="atLeast"/>
        </w:trPr>
        <w:tc>
          <w:tcPr>
            <w:tcW w:w="948" w:type="dxa"/>
            <w:vMerge w:val="continue"/>
            <w:tcBorders>
              <w:left w:val="single" w:color="auto" w:sz="4" w:space="0"/>
              <w:bottom w:val="single" w:color="auto" w:sz="4" w:space="0"/>
              <w:right w:val="single" w:color="auto" w:sz="4" w:space="0"/>
            </w:tcBorders>
            <w:vAlign w:val="center"/>
          </w:tcPr>
          <w:p w14:paraId="4F626374">
            <w:pPr>
              <w:widowControl/>
              <w:jc w:val="left"/>
              <w:rPr>
                <w:rFonts w:hint="eastAsia" w:ascii="宋体" w:hAnsi="宋体" w:eastAsia="宋体" w:cs="宋体"/>
                <w:bCs/>
                <w:snapToGrid w:val="0"/>
                <w:color w:val="auto"/>
                <w:kern w:val="0"/>
                <w:sz w:val="21"/>
                <w:szCs w:val="21"/>
                <w:highlight w:val="none"/>
              </w:rPr>
            </w:pPr>
          </w:p>
        </w:tc>
        <w:tc>
          <w:tcPr>
            <w:tcW w:w="1219" w:type="dxa"/>
            <w:vMerge w:val="continue"/>
            <w:tcBorders>
              <w:left w:val="single" w:color="auto" w:sz="4" w:space="0"/>
              <w:bottom w:val="single" w:color="auto" w:sz="4" w:space="0"/>
              <w:right w:val="single" w:color="auto" w:sz="4" w:space="0"/>
            </w:tcBorders>
            <w:vAlign w:val="center"/>
          </w:tcPr>
          <w:p w14:paraId="71D2E5F7">
            <w:pPr>
              <w:widowControl/>
              <w:jc w:val="left"/>
              <w:rPr>
                <w:rFonts w:hint="eastAsia" w:ascii="宋体" w:hAnsi="宋体" w:eastAsia="宋体" w:cs="宋体"/>
                <w:bCs/>
                <w:snapToGrid w:val="0"/>
                <w:color w:val="auto"/>
                <w:kern w:val="0"/>
                <w:sz w:val="21"/>
                <w:szCs w:val="21"/>
                <w:highlight w:val="none"/>
              </w:rPr>
            </w:pPr>
          </w:p>
        </w:tc>
        <w:tc>
          <w:tcPr>
            <w:tcW w:w="1375" w:type="dxa"/>
            <w:vMerge w:val="continue"/>
            <w:tcBorders>
              <w:left w:val="single" w:color="auto" w:sz="4" w:space="0"/>
              <w:bottom w:val="single" w:color="auto" w:sz="4" w:space="0"/>
              <w:right w:val="single" w:color="auto" w:sz="4" w:space="0"/>
            </w:tcBorders>
            <w:vAlign w:val="center"/>
          </w:tcPr>
          <w:p w14:paraId="265320FD">
            <w:pPr>
              <w:widowControl/>
              <w:jc w:val="left"/>
              <w:rPr>
                <w:rFonts w:hint="eastAsia" w:ascii="宋体" w:hAnsi="宋体" w:eastAsia="宋体" w:cs="宋体"/>
                <w:bCs/>
                <w:snapToGrid w:val="0"/>
                <w:color w:val="auto"/>
                <w:kern w:val="0"/>
                <w:sz w:val="21"/>
                <w:szCs w:val="21"/>
                <w:highlight w:val="none"/>
              </w:rPr>
            </w:pP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A1D61">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广州</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增城区、鸿狮、声威、峻兴</w:t>
            </w:r>
          </w:p>
          <w:p w14:paraId="5A8C1AEE">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珠海</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洪湾、金湾</w:t>
            </w:r>
          </w:p>
          <w:p w14:paraId="5E02313D">
            <w:pPr>
              <w:widowControl/>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江门</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奔达、罗坑、七堡</w:t>
            </w:r>
          </w:p>
          <w:p w14:paraId="21348BD0">
            <w:pPr>
              <w:widowControl/>
              <w:jc w:val="left"/>
              <w:rPr>
                <w:rFonts w:hint="eastAsia" w:hAnsi="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rPr>
              <w:t>东莞</w:t>
            </w:r>
            <w:r>
              <w:rPr>
                <w:rFonts w:hint="eastAsia"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长安、全鑫、喜山、唯美</w:t>
            </w:r>
            <w:r>
              <w:rPr>
                <w:rFonts w:hint="eastAsia" w:hAnsi="宋体" w:cs="宋体"/>
                <w:bCs/>
                <w:snapToGrid w:val="0"/>
                <w:color w:val="auto"/>
                <w:kern w:val="0"/>
                <w:sz w:val="21"/>
                <w:szCs w:val="21"/>
                <w:highlight w:val="none"/>
                <w:lang w:eastAsia="zh-CN"/>
              </w:rPr>
              <w:t>；</w:t>
            </w:r>
          </w:p>
          <w:p w14:paraId="7C59F01F">
            <w:pPr>
              <w:widowControl/>
              <w:jc w:val="left"/>
              <w:rPr>
                <w:rFonts w:hint="eastAsia" w:hAnsi="宋体" w:cs="宋体"/>
                <w:bCs/>
                <w:snapToGrid w:val="0"/>
                <w:color w:val="auto"/>
                <w:kern w:val="0"/>
                <w:sz w:val="21"/>
                <w:szCs w:val="21"/>
                <w:highlight w:val="none"/>
                <w:lang w:eastAsia="zh-CN"/>
              </w:rPr>
            </w:pPr>
            <w:r>
              <w:rPr>
                <w:rFonts w:hint="eastAsia" w:hAnsi="宋体" w:cs="宋体"/>
                <w:bCs/>
                <w:snapToGrid w:val="0"/>
                <w:color w:val="auto"/>
                <w:kern w:val="0"/>
                <w:sz w:val="21"/>
                <w:szCs w:val="21"/>
                <w:highlight w:val="none"/>
                <w:lang w:eastAsia="zh-CN"/>
              </w:rPr>
              <w:t>惠州（梁屋福和、宏兴码头）；</w:t>
            </w:r>
          </w:p>
          <w:p w14:paraId="5D7C30AD">
            <w:pPr>
              <w:widowControl/>
              <w:jc w:val="left"/>
              <w:rPr>
                <w:rFonts w:hint="eastAsia" w:ascii="宋体" w:hAnsi="宋体" w:eastAsia="宋体" w:cs="宋体"/>
                <w:bCs/>
                <w:snapToGrid w:val="0"/>
                <w:color w:val="auto"/>
                <w:kern w:val="0"/>
                <w:sz w:val="21"/>
                <w:szCs w:val="21"/>
                <w:highlight w:val="none"/>
                <w:lang w:eastAsia="zh-CN"/>
              </w:rPr>
            </w:pPr>
            <w:r>
              <w:rPr>
                <w:rFonts w:hint="eastAsia" w:hAnsi="宋体" w:cs="宋体"/>
                <w:bCs/>
                <w:snapToGrid w:val="0"/>
                <w:color w:val="auto"/>
                <w:kern w:val="0"/>
                <w:sz w:val="21"/>
                <w:szCs w:val="21"/>
                <w:highlight w:val="none"/>
                <w:lang w:eastAsia="zh-CN"/>
              </w:rPr>
              <w:t>南沙粮食码头</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89B5">
            <w:pPr>
              <w:rPr>
                <w:rFonts w:hint="eastAsia" w:ascii="宋体" w:hAnsi="宋体" w:eastAsia="宋体" w:cs="宋体"/>
                <w:bCs/>
                <w:snapToGrid w:val="0"/>
                <w:color w:val="auto"/>
                <w:kern w:val="0"/>
                <w:sz w:val="21"/>
                <w:szCs w:val="21"/>
                <w:highlight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49311">
            <w:pPr>
              <w:rPr>
                <w:rFonts w:hint="eastAsia" w:ascii="宋体" w:hAnsi="宋体" w:eastAsia="宋体" w:cs="宋体"/>
                <w:bCs/>
                <w:snapToGrid w:val="0"/>
                <w:color w:val="auto"/>
                <w:kern w:val="0"/>
                <w:sz w:val="21"/>
                <w:szCs w:val="21"/>
                <w:highlight w:val="none"/>
              </w:rPr>
            </w:pPr>
          </w:p>
        </w:tc>
      </w:tr>
    </w:tbl>
    <w:p w14:paraId="319BFA19">
      <w:pPr>
        <w:spacing w:line="360" w:lineRule="auto"/>
        <w:rPr>
          <w:rFonts w:hint="eastAsia" w:ascii="宋体" w:hAnsi="宋体" w:eastAsia="宋体" w:cs="宋体"/>
          <w:color w:val="auto"/>
          <w:sz w:val="24"/>
          <w:szCs w:val="24"/>
          <w:highlight w:val="none"/>
        </w:rPr>
      </w:pPr>
    </w:p>
    <w:p w14:paraId="5E3818AF">
      <w:pPr>
        <w:spacing w:line="360" w:lineRule="auto"/>
        <w:rPr>
          <w:rFonts w:hint="eastAsia" w:ascii="宋体" w:hAnsi="宋体" w:eastAsia="宋体" w:cs="宋体"/>
          <w:color w:val="auto"/>
          <w:sz w:val="24"/>
          <w:szCs w:val="24"/>
          <w:highlight w:val="none"/>
        </w:rPr>
      </w:pPr>
    </w:p>
    <w:p w14:paraId="5183F799">
      <w:pPr>
        <w:spacing w:line="360" w:lineRule="auto"/>
        <w:rPr>
          <w:rFonts w:hint="eastAsia" w:ascii="宋体" w:hAnsi="宋体" w:eastAsia="宋体" w:cs="宋体"/>
          <w:color w:val="auto"/>
          <w:sz w:val="24"/>
          <w:szCs w:val="24"/>
          <w:highlight w:val="none"/>
        </w:rPr>
      </w:pPr>
    </w:p>
    <w:p w14:paraId="7AB91E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报价单位名称：</w:t>
      </w:r>
    </w:p>
    <w:p w14:paraId="54B753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p w14:paraId="428CB1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w:t>
      </w:r>
    </w:p>
    <w:p w14:paraId="3C70BA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2B81C97">
      <w:pPr>
        <w:rPr>
          <w:rFonts w:hint="eastAsia" w:ascii="宋体" w:hAnsi="宋体" w:eastAsia="宋体" w:cs="宋体"/>
          <w:color w:val="auto"/>
          <w:sz w:val="21"/>
          <w:szCs w:val="21"/>
          <w:highlight w:val="none"/>
        </w:rPr>
      </w:pPr>
    </w:p>
    <w:p w14:paraId="00559670">
      <w:pPr>
        <w:rPr>
          <w:rFonts w:hint="eastAsia" w:ascii="宋体" w:hAnsi="宋体" w:eastAsia="宋体" w:cs="宋体"/>
          <w:color w:val="auto"/>
          <w:sz w:val="21"/>
          <w:szCs w:val="21"/>
          <w:highlight w:val="none"/>
        </w:rPr>
      </w:pPr>
    </w:p>
    <w:p w14:paraId="5CD1F7C5">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报价单位名称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 xml:space="preserve"> </w:t>
      </w:r>
    </w:p>
    <w:p w14:paraId="4B461924">
      <w:pPr>
        <w:keepNext w:val="0"/>
        <w:keepLines w:val="0"/>
        <w:pageBreakBefore w:val="0"/>
        <w:widowControl w:val="0"/>
        <w:kinsoku/>
        <w:wordWrap/>
        <w:overflowPunct/>
        <w:topLinePunct w:val="0"/>
        <w:autoSpaceDE w:val="0"/>
        <w:autoSpaceDN w:val="0"/>
        <w:bidi w:val="0"/>
        <w:adjustRightInd w:val="0"/>
        <w:snapToGrid/>
        <w:spacing w:line="480" w:lineRule="auto"/>
        <w:ind w:firstLine="4830" w:firstLineChars="2300"/>
        <w:textAlignment w:val="baseline"/>
        <w:rPr>
          <w:rFonts w:hint="eastAsia" w:hAnsi="宋体" w:cs="宋体"/>
          <w:color w:val="auto"/>
          <w:sz w:val="21"/>
          <w:szCs w:val="21"/>
          <w:highlight w:val="none"/>
          <w:lang w:eastAsia="zh-CN"/>
        </w:rPr>
      </w:pPr>
      <w:r>
        <w:rPr>
          <w:rFonts w:hint="eastAsia" w:ascii="宋体" w:hAnsi="宋体" w:eastAsia="宋体" w:cs="宋体"/>
          <w:color w:val="auto"/>
          <w:sz w:val="21"/>
          <w:szCs w:val="21"/>
          <w:highlight w:val="none"/>
        </w:rPr>
        <w:t>报价时间</w:t>
      </w:r>
      <w:r>
        <w:rPr>
          <w:rFonts w:hint="eastAsia" w:hAnsi="宋体" w:cs="宋体"/>
          <w:color w:val="auto"/>
          <w:sz w:val="21"/>
          <w:szCs w:val="21"/>
          <w:highlight w:val="none"/>
          <w:lang w:eastAsia="zh-CN"/>
        </w:rPr>
        <w:t>：</w:t>
      </w:r>
    </w:p>
    <w:p w14:paraId="7B0ACFAD">
      <w:pPr>
        <w:rPr>
          <w:rFonts w:hint="eastAsia" w:ascii="宋体" w:hAnsi="宋体" w:eastAsia="宋体" w:cs="宋体"/>
          <w:color w:val="auto"/>
          <w:highlight w:val="none"/>
        </w:rPr>
      </w:pPr>
    </w:p>
    <w:p w14:paraId="7D6CAFF7">
      <w:pPr>
        <w:bidi w:val="0"/>
        <w:rPr>
          <w:rFonts w:hint="eastAsia"/>
        </w:rPr>
      </w:pPr>
    </w:p>
    <w:p w14:paraId="565C5504">
      <w:pPr>
        <w:rPr>
          <w:rFonts w:hint="eastAsia" w:ascii="宋体" w:hAnsi="宋体" w:eastAsia="宋体" w:cs="宋体"/>
          <w:color w:val="auto"/>
          <w:highlight w:val="none"/>
        </w:rPr>
      </w:pPr>
      <w:bookmarkStart w:id="19" w:name="_Toc38028108"/>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w:t>
      </w:r>
    </w:p>
    <w:p w14:paraId="6C3CF876">
      <w:pPr>
        <w:pStyle w:val="3"/>
        <w:spacing w:after="156" w:afterLines="5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企业情况一览表</w:t>
      </w:r>
      <w:bookmarkEnd w:id="19"/>
    </w:p>
    <w:tbl>
      <w:tblPr>
        <w:tblStyle w:val="16"/>
        <w:tblW w:w="9229" w:type="dxa"/>
        <w:tblInd w:w="0" w:type="dxa"/>
        <w:tblLayout w:type="autofit"/>
        <w:tblCellMar>
          <w:top w:w="0" w:type="dxa"/>
          <w:left w:w="108" w:type="dxa"/>
          <w:bottom w:w="0" w:type="dxa"/>
          <w:right w:w="108" w:type="dxa"/>
        </w:tblCellMar>
      </w:tblPr>
      <w:tblGrid>
        <w:gridCol w:w="2307"/>
        <w:gridCol w:w="2307"/>
        <w:gridCol w:w="2307"/>
        <w:gridCol w:w="2308"/>
      </w:tblGrid>
      <w:tr w14:paraId="7B8DF518">
        <w:tblPrEx>
          <w:tblCellMar>
            <w:top w:w="0" w:type="dxa"/>
            <w:left w:w="108" w:type="dxa"/>
            <w:bottom w:w="0" w:type="dxa"/>
            <w:right w:w="108" w:type="dxa"/>
          </w:tblCellMar>
        </w:tblPrEx>
        <w:trPr>
          <w:trHeight w:val="454" w:hRule="atLeast"/>
        </w:trPr>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14:paraId="4ED26FF1">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企业名称</w:t>
            </w:r>
          </w:p>
        </w:tc>
        <w:tc>
          <w:tcPr>
            <w:tcW w:w="2307" w:type="dxa"/>
            <w:tcBorders>
              <w:top w:val="single" w:color="auto" w:sz="4" w:space="0"/>
              <w:left w:val="nil"/>
              <w:bottom w:val="single" w:color="auto" w:sz="4" w:space="0"/>
              <w:right w:val="single" w:color="auto" w:sz="4" w:space="0"/>
            </w:tcBorders>
            <w:shd w:val="clear" w:color="auto" w:fill="auto"/>
            <w:vAlign w:val="center"/>
          </w:tcPr>
          <w:p w14:paraId="676A11CB">
            <w:pPr>
              <w:widowControl/>
              <w:spacing w:line="360" w:lineRule="auto"/>
              <w:rPr>
                <w:rFonts w:hint="eastAsia" w:ascii="宋体" w:hAnsi="宋体" w:eastAsia="宋体" w:cs="宋体"/>
                <w:color w:val="auto"/>
                <w:kern w:val="0"/>
                <w:sz w:val="21"/>
                <w:szCs w:val="21"/>
                <w:highlight w:val="none"/>
              </w:rPr>
            </w:pPr>
          </w:p>
        </w:tc>
        <w:tc>
          <w:tcPr>
            <w:tcW w:w="2307" w:type="dxa"/>
            <w:tcBorders>
              <w:top w:val="single" w:color="auto" w:sz="4" w:space="0"/>
              <w:left w:val="nil"/>
              <w:bottom w:val="single" w:color="auto" w:sz="4" w:space="0"/>
              <w:right w:val="single" w:color="auto" w:sz="4" w:space="0"/>
            </w:tcBorders>
            <w:shd w:val="clear" w:color="auto" w:fill="auto"/>
            <w:vAlign w:val="center"/>
          </w:tcPr>
          <w:p w14:paraId="2F7DBBAF">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2308" w:type="dxa"/>
            <w:tcBorders>
              <w:top w:val="single" w:color="auto" w:sz="4" w:space="0"/>
              <w:left w:val="nil"/>
              <w:bottom w:val="single" w:color="auto" w:sz="4" w:space="0"/>
              <w:right w:val="single" w:color="auto" w:sz="4" w:space="0"/>
            </w:tcBorders>
            <w:shd w:val="clear" w:color="auto" w:fill="auto"/>
            <w:vAlign w:val="center"/>
          </w:tcPr>
          <w:p w14:paraId="6DCC647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E0FFB77">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46F6BC69">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所有制类别</w:t>
            </w:r>
          </w:p>
        </w:tc>
        <w:tc>
          <w:tcPr>
            <w:tcW w:w="2307" w:type="dxa"/>
            <w:tcBorders>
              <w:top w:val="nil"/>
              <w:left w:val="nil"/>
              <w:bottom w:val="single" w:color="auto" w:sz="4" w:space="0"/>
              <w:right w:val="single" w:color="auto" w:sz="4" w:space="0"/>
            </w:tcBorders>
            <w:shd w:val="clear" w:color="auto" w:fill="auto"/>
            <w:vAlign w:val="center"/>
          </w:tcPr>
          <w:p w14:paraId="5238160D">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5F5A8B84">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2308" w:type="dxa"/>
            <w:tcBorders>
              <w:top w:val="nil"/>
              <w:left w:val="nil"/>
              <w:bottom w:val="single" w:color="auto" w:sz="4" w:space="0"/>
              <w:right w:val="single" w:color="auto" w:sz="4" w:space="0"/>
            </w:tcBorders>
            <w:shd w:val="clear" w:color="auto" w:fill="auto"/>
            <w:vAlign w:val="center"/>
          </w:tcPr>
          <w:p w14:paraId="56EC955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B2890E3">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0AAA4B2F">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固定资产</w:t>
            </w:r>
          </w:p>
        </w:tc>
        <w:tc>
          <w:tcPr>
            <w:tcW w:w="2307" w:type="dxa"/>
            <w:tcBorders>
              <w:top w:val="nil"/>
              <w:left w:val="nil"/>
              <w:bottom w:val="single" w:color="auto" w:sz="4" w:space="0"/>
              <w:right w:val="single" w:color="auto" w:sz="4" w:space="0"/>
            </w:tcBorders>
            <w:shd w:val="clear" w:color="auto" w:fill="auto"/>
            <w:vAlign w:val="center"/>
          </w:tcPr>
          <w:p w14:paraId="1C059F14">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14AE75B2">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308" w:type="dxa"/>
            <w:tcBorders>
              <w:top w:val="nil"/>
              <w:left w:val="nil"/>
              <w:bottom w:val="single" w:color="auto" w:sz="4" w:space="0"/>
              <w:right w:val="single" w:color="auto" w:sz="4" w:space="0"/>
            </w:tcBorders>
            <w:shd w:val="clear" w:color="auto" w:fill="auto"/>
            <w:vAlign w:val="center"/>
          </w:tcPr>
          <w:p w14:paraId="02C2000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8145868">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18F3AE74">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2307" w:type="dxa"/>
            <w:tcBorders>
              <w:top w:val="nil"/>
              <w:left w:val="nil"/>
              <w:bottom w:val="single" w:color="auto" w:sz="4" w:space="0"/>
              <w:right w:val="single" w:color="auto" w:sz="4" w:space="0"/>
            </w:tcBorders>
            <w:shd w:val="clear" w:color="auto" w:fill="auto"/>
            <w:vAlign w:val="center"/>
          </w:tcPr>
          <w:p w14:paraId="1EB81FDB">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30288EB3">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实收资本</w:t>
            </w:r>
          </w:p>
        </w:tc>
        <w:tc>
          <w:tcPr>
            <w:tcW w:w="2308" w:type="dxa"/>
            <w:tcBorders>
              <w:top w:val="nil"/>
              <w:left w:val="nil"/>
              <w:bottom w:val="single" w:color="auto" w:sz="4" w:space="0"/>
              <w:right w:val="single" w:color="auto" w:sz="4" w:space="0"/>
            </w:tcBorders>
            <w:shd w:val="clear" w:color="auto" w:fill="auto"/>
            <w:vAlign w:val="center"/>
          </w:tcPr>
          <w:p w14:paraId="0DE80F6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E0514FC">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63B59866">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307" w:type="dxa"/>
            <w:tcBorders>
              <w:top w:val="nil"/>
              <w:left w:val="nil"/>
              <w:bottom w:val="single" w:color="auto" w:sz="4" w:space="0"/>
              <w:right w:val="single" w:color="auto" w:sz="4" w:space="0"/>
            </w:tcBorders>
            <w:shd w:val="clear" w:color="auto" w:fill="auto"/>
            <w:vAlign w:val="center"/>
          </w:tcPr>
          <w:p w14:paraId="1B3E09F5">
            <w:pPr>
              <w:widowControl/>
              <w:spacing w:line="360" w:lineRule="auto"/>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002340F1">
            <w:pPr>
              <w:widowControl/>
              <w:spacing w:line="360" w:lineRule="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eastAsia="zh-CN"/>
              </w:rPr>
              <w:t>账</w:t>
            </w:r>
            <w:r>
              <w:rPr>
                <w:rFonts w:hint="eastAsia" w:ascii="宋体" w:hAnsi="宋体" w:eastAsia="宋体" w:cs="宋体"/>
                <w:color w:val="auto"/>
                <w:kern w:val="0"/>
                <w:sz w:val="21"/>
                <w:szCs w:val="21"/>
                <w:highlight w:val="none"/>
              </w:rPr>
              <w:t xml:space="preserve">    号</w:t>
            </w:r>
          </w:p>
        </w:tc>
        <w:tc>
          <w:tcPr>
            <w:tcW w:w="2308" w:type="dxa"/>
            <w:tcBorders>
              <w:top w:val="nil"/>
              <w:left w:val="nil"/>
              <w:bottom w:val="single" w:color="auto" w:sz="4" w:space="0"/>
              <w:right w:val="single" w:color="auto" w:sz="4" w:space="0"/>
            </w:tcBorders>
            <w:shd w:val="clear" w:color="auto" w:fill="auto"/>
            <w:vAlign w:val="center"/>
          </w:tcPr>
          <w:p w14:paraId="33A541E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AFC8A2A">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7269D17B">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年营业额</w:t>
            </w:r>
          </w:p>
        </w:tc>
        <w:tc>
          <w:tcPr>
            <w:tcW w:w="6922" w:type="dxa"/>
            <w:gridSpan w:val="3"/>
            <w:tcBorders>
              <w:top w:val="nil"/>
              <w:left w:val="nil"/>
              <w:bottom w:val="single" w:color="auto" w:sz="4" w:space="0"/>
              <w:right w:val="single" w:color="auto" w:sz="4" w:space="0"/>
            </w:tcBorders>
            <w:shd w:val="clear" w:color="auto" w:fill="auto"/>
            <w:vAlign w:val="center"/>
          </w:tcPr>
          <w:p w14:paraId="6512D521">
            <w:pPr>
              <w:widowControl/>
              <w:spacing w:line="360" w:lineRule="auto"/>
              <w:jc w:val="right"/>
              <w:rPr>
                <w:rFonts w:hint="eastAsia" w:ascii="宋体" w:hAnsi="宋体" w:eastAsia="宋体" w:cs="宋体"/>
                <w:color w:val="auto"/>
                <w:kern w:val="0"/>
                <w:sz w:val="21"/>
                <w:szCs w:val="21"/>
                <w:highlight w:val="none"/>
              </w:rPr>
            </w:pPr>
          </w:p>
        </w:tc>
      </w:tr>
      <w:tr w14:paraId="31CEC7AA">
        <w:tblPrEx>
          <w:tblCellMar>
            <w:top w:w="0" w:type="dxa"/>
            <w:left w:w="108" w:type="dxa"/>
            <w:bottom w:w="0" w:type="dxa"/>
            <w:right w:w="108" w:type="dxa"/>
          </w:tblCellMar>
        </w:tblPrEx>
        <w:trPr>
          <w:trHeight w:val="454" w:hRule="atLeast"/>
        </w:trPr>
        <w:tc>
          <w:tcPr>
            <w:tcW w:w="4614" w:type="dxa"/>
            <w:gridSpan w:val="2"/>
            <w:tcBorders>
              <w:top w:val="nil"/>
              <w:left w:val="single" w:color="auto" w:sz="4" w:space="0"/>
              <w:bottom w:val="single" w:color="auto" w:sz="4" w:space="0"/>
              <w:right w:val="single" w:color="auto" w:sz="4" w:space="0"/>
            </w:tcBorders>
            <w:shd w:val="clear" w:color="auto" w:fill="auto"/>
            <w:vAlign w:val="center"/>
          </w:tcPr>
          <w:p w14:paraId="4691D015">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可提供服务的</w:t>
            </w:r>
            <w:r>
              <w:rPr>
                <w:rFonts w:hint="eastAsia" w:ascii="宋体" w:hAnsi="宋体" w:eastAsia="宋体" w:cs="宋体"/>
                <w:color w:val="auto"/>
                <w:kern w:val="0"/>
                <w:sz w:val="21"/>
                <w:szCs w:val="21"/>
                <w:highlight w:val="none"/>
                <w:lang w:val="en-US" w:eastAsia="zh-CN"/>
              </w:rPr>
              <w:t>西江</w:t>
            </w:r>
            <w:r>
              <w:rPr>
                <w:rFonts w:hint="eastAsia" w:ascii="宋体" w:hAnsi="宋体" w:eastAsia="宋体" w:cs="宋体"/>
                <w:color w:val="auto"/>
                <w:kern w:val="0"/>
                <w:sz w:val="21"/>
                <w:szCs w:val="21"/>
                <w:highlight w:val="none"/>
              </w:rPr>
              <w:t>航线合作船舶</w:t>
            </w:r>
          </w:p>
        </w:tc>
        <w:tc>
          <w:tcPr>
            <w:tcW w:w="4615" w:type="dxa"/>
            <w:gridSpan w:val="2"/>
            <w:tcBorders>
              <w:top w:val="nil"/>
              <w:left w:val="nil"/>
              <w:bottom w:val="single" w:color="auto" w:sz="4" w:space="0"/>
              <w:right w:val="single" w:color="auto" w:sz="4" w:space="0"/>
            </w:tcBorders>
            <w:shd w:val="clear" w:color="auto" w:fill="auto"/>
            <w:vAlign w:val="center"/>
          </w:tcPr>
          <w:p w14:paraId="475410FF">
            <w:pPr>
              <w:widowControl/>
              <w:wordWrap w:val="0"/>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艘              吨</w:t>
            </w:r>
          </w:p>
        </w:tc>
      </w:tr>
      <w:tr w14:paraId="1FD3D7C8">
        <w:tblPrEx>
          <w:tblCellMar>
            <w:top w:w="0" w:type="dxa"/>
            <w:left w:w="108" w:type="dxa"/>
            <w:bottom w:w="0" w:type="dxa"/>
            <w:right w:w="108" w:type="dxa"/>
          </w:tblCellMar>
        </w:tblPrEx>
        <w:trPr>
          <w:trHeight w:val="1644" w:hRule="atLeast"/>
        </w:trPr>
        <w:tc>
          <w:tcPr>
            <w:tcW w:w="92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5ED7B7">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企业简介及</w:t>
            </w:r>
            <w:r>
              <w:rPr>
                <w:rFonts w:hint="eastAsia" w:ascii="宋体" w:hAnsi="宋体" w:eastAsia="宋体" w:cs="宋体"/>
                <w:color w:val="auto"/>
                <w:kern w:val="0"/>
                <w:sz w:val="21"/>
                <w:szCs w:val="21"/>
                <w:highlight w:val="none"/>
                <w:lang w:val="en-US" w:eastAsia="zh-CN"/>
              </w:rPr>
              <w:t>西江</w:t>
            </w:r>
            <w:r>
              <w:rPr>
                <w:rFonts w:hint="eastAsia" w:ascii="宋体" w:hAnsi="宋体" w:eastAsia="宋体" w:cs="宋体"/>
                <w:color w:val="auto"/>
                <w:kern w:val="0"/>
                <w:sz w:val="21"/>
                <w:szCs w:val="21"/>
                <w:highlight w:val="none"/>
              </w:rPr>
              <w:t>航线运输经验：</w:t>
            </w:r>
          </w:p>
          <w:p w14:paraId="6D5A8AF0">
            <w:pPr>
              <w:widowControl/>
              <w:spacing w:line="360" w:lineRule="auto"/>
              <w:rPr>
                <w:rFonts w:hint="eastAsia" w:ascii="宋体" w:hAnsi="宋体" w:eastAsia="宋体" w:cs="宋体"/>
                <w:color w:val="auto"/>
                <w:kern w:val="0"/>
                <w:sz w:val="21"/>
                <w:szCs w:val="21"/>
                <w:highlight w:val="none"/>
              </w:rPr>
            </w:pPr>
          </w:p>
          <w:p w14:paraId="71C674FF">
            <w:pPr>
              <w:widowControl/>
              <w:spacing w:line="360" w:lineRule="auto"/>
              <w:rPr>
                <w:rFonts w:hint="eastAsia" w:ascii="宋体" w:hAnsi="宋体" w:eastAsia="宋体" w:cs="宋体"/>
                <w:color w:val="auto"/>
                <w:kern w:val="0"/>
                <w:sz w:val="21"/>
                <w:szCs w:val="21"/>
                <w:highlight w:val="none"/>
              </w:rPr>
            </w:pPr>
          </w:p>
          <w:p w14:paraId="4DA2484A">
            <w:pPr>
              <w:widowControl/>
              <w:spacing w:line="360" w:lineRule="auto"/>
              <w:rPr>
                <w:rFonts w:hint="eastAsia" w:ascii="宋体" w:hAnsi="宋体" w:eastAsia="宋体" w:cs="宋体"/>
                <w:color w:val="auto"/>
                <w:kern w:val="0"/>
                <w:sz w:val="21"/>
                <w:szCs w:val="21"/>
                <w:highlight w:val="none"/>
              </w:rPr>
            </w:pPr>
          </w:p>
          <w:p w14:paraId="5D880CA4">
            <w:pPr>
              <w:widowControl/>
              <w:spacing w:line="360" w:lineRule="auto"/>
              <w:rPr>
                <w:rFonts w:hint="eastAsia" w:ascii="宋体" w:hAnsi="宋体" w:eastAsia="宋体" w:cs="宋体"/>
                <w:color w:val="auto"/>
                <w:kern w:val="0"/>
                <w:sz w:val="21"/>
                <w:szCs w:val="21"/>
                <w:highlight w:val="none"/>
              </w:rPr>
            </w:pPr>
          </w:p>
          <w:p w14:paraId="2831D652">
            <w:pPr>
              <w:widowControl/>
              <w:spacing w:line="360" w:lineRule="auto"/>
              <w:rPr>
                <w:rFonts w:hint="eastAsia" w:ascii="宋体" w:hAnsi="宋体" w:eastAsia="宋体" w:cs="宋体"/>
                <w:color w:val="auto"/>
                <w:kern w:val="0"/>
                <w:sz w:val="21"/>
                <w:szCs w:val="21"/>
                <w:highlight w:val="none"/>
              </w:rPr>
            </w:pPr>
          </w:p>
          <w:p w14:paraId="0971D389">
            <w:pPr>
              <w:widowControl/>
              <w:spacing w:line="360" w:lineRule="auto"/>
              <w:rPr>
                <w:rFonts w:hint="eastAsia" w:ascii="宋体" w:hAnsi="宋体" w:eastAsia="宋体" w:cs="宋体"/>
                <w:color w:val="auto"/>
                <w:kern w:val="0"/>
                <w:sz w:val="21"/>
                <w:szCs w:val="21"/>
                <w:highlight w:val="none"/>
              </w:rPr>
            </w:pPr>
          </w:p>
        </w:tc>
      </w:tr>
    </w:tbl>
    <w:p w14:paraId="1202877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注：以上表中内容需提供资料证明，并且需与表中内容保持一致。如无真实有效的资料证明，视为内容无效。</w:t>
      </w:r>
    </w:p>
    <w:p w14:paraId="7B20BF85">
      <w:pPr>
        <w:rPr>
          <w:rFonts w:hint="eastAsia" w:ascii="宋体" w:hAnsi="宋体" w:eastAsia="宋体" w:cs="宋体"/>
          <w:color w:val="auto"/>
          <w:sz w:val="21"/>
          <w:szCs w:val="21"/>
          <w:highlight w:val="none"/>
        </w:rPr>
      </w:pPr>
    </w:p>
    <w:p w14:paraId="28CE5FDA">
      <w:pPr>
        <w:spacing w:line="480" w:lineRule="auto"/>
        <w:ind w:right="480" w:firstLine="4494" w:firstLineChars="214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372F1FE3">
      <w:pPr>
        <w:spacing w:line="480" w:lineRule="auto"/>
        <w:ind w:firstLine="4494" w:firstLineChars="214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24A08348">
      <w:pPr>
        <w:spacing w:line="480" w:lineRule="auto"/>
        <w:ind w:firstLine="4494" w:firstLineChars="2140"/>
        <w:rPr>
          <w:rFonts w:hint="eastAsia" w:ascii="宋体" w:hAnsi="宋体" w:eastAsia="宋体" w:cs="宋体"/>
          <w:b/>
          <w:snapToGrid w:val="0"/>
          <w:color w:val="auto"/>
          <w:sz w:val="21"/>
          <w:szCs w:val="21"/>
          <w:highlight w:val="none"/>
        </w:rPr>
      </w:pPr>
      <w:r>
        <w:rPr>
          <w:rFonts w:hint="eastAsia" w:ascii="宋体" w:hAnsi="宋体" w:eastAsia="宋体" w:cs="宋体"/>
          <w:snapToGrid w:val="0"/>
          <w:color w:val="auto"/>
          <w:sz w:val="21"/>
          <w:szCs w:val="21"/>
          <w:highlight w:val="none"/>
        </w:rPr>
        <w:t xml:space="preserve"> </w:t>
      </w:r>
      <w:bookmarkStart w:id="20" w:name="_Toc5874170"/>
      <w:r>
        <w:rPr>
          <w:rFonts w:hint="eastAsia" w:ascii="宋体" w:hAnsi="宋体" w:eastAsia="宋体" w:cs="宋体"/>
          <w:snapToGrid w:val="0"/>
          <w:color w:val="auto"/>
          <w:kern w:val="0"/>
          <w:sz w:val="21"/>
          <w:szCs w:val="21"/>
          <w:highlight w:val="none"/>
        </w:rPr>
        <w:t>日  期：</w:t>
      </w:r>
      <w:bookmarkEnd w:id="20"/>
    </w:p>
    <w:p w14:paraId="74D5DBC2">
      <w:pPr>
        <w:pStyle w:val="3"/>
        <w:rPr>
          <w:rFonts w:hint="eastAsia" w:ascii="宋体" w:hAnsi="宋体" w:eastAsia="宋体" w:cs="宋体"/>
          <w:snapToGrid w:val="0"/>
          <w:color w:val="auto"/>
          <w:sz w:val="30"/>
          <w:szCs w:val="30"/>
          <w:highlight w:val="none"/>
        </w:rPr>
      </w:pPr>
    </w:p>
    <w:p w14:paraId="3708AE28">
      <w:pPr>
        <w:rPr>
          <w:rFonts w:hint="eastAsia" w:ascii="宋体" w:hAnsi="宋体" w:eastAsia="宋体" w:cs="宋体"/>
          <w:color w:val="auto"/>
          <w:szCs w:val="21"/>
          <w:highlight w:val="none"/>
        </w:rPr>
      </w:pPr>
      <w:bookmarkStart w:id="21" w:name="_Toc38028109"/>
      <w:r>
        <w:rPr>
          <w:rFonts w:hint="eastAsia" w:ascii="宋体" w:hAnsi="宋体" w:eastAsia="宋体" w:cs="宋体"/>
          <w:color w:val="auto"/>
          <w:szCs w:val="21"/>
          <w:highlight w:val="none"/>
        </w:rPr>
        <w:br w:type="page"/>
      </w:r>
    </w:p>
    <w:p w14:paraId="1A792678">
      <w:pPr>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w:t>
      </w:r>
    </w:p>
    <w:p w14:paraId="462B55A5">
      <w:pPr>
        <w:pStyle w:val="3"/>
        <w:jc w:val="center"/>
        <w:rPr>
          <w:rFonts w:hint="eastAsia" w:ascii="宋体" w:hAnsi="宋体" w:eastAsia="宋体" w:cs="宋体"/>
          <w:snapToGrid w:val="0"/>
          <w:color w:val="auto"/>
          <w:sz w:val="30"/>
          <w:szCs w:val="30"/>
          <w:highlight w:val="none"/>
        </w:rPr>
      </w:pPr>
    </w:p>
    <w:p w14:paraId="20BB535D">
      <w:pPr>
        <w:pStyle w:val="3"/>
        <w:bidi w:val="0"/>
        <w:jc w:val="center"/>
        <w:rPr>
          <w:rFonts w:hint="eastAsia"/>
          <w:sz w:val="30"/>
          <w:szCs w:val="30"/>
        </w:rPr>
      </w:pPr>
      <w:r>
        <w:rPr>
          <w:rFonts w:hint="eastAsia"/>
          <w:sz w:val="30"/>
          <w:szCs w:val="30"/>
        </w:rPr>
        <w:t>资格证明文件</w:t>
      </w:r>
      <w:bookmarkEnd w:id="21"/>
    </w:p>
    <w:p w14:paraId="70DB360F">
      <w:pPr>
        <w:rPr>
          <w:rFonts w:hint="eastAsia" w:ascii="宋体" w:hAnsi="宋体" w:eastAsia="宋体" w:cs="宋体"/>
          <w:color w:val="auto"/>
          <w:highlight w:val="none"/>
        </w:rPr>
      </w:pPr>
    </w:p>
    <w:p w14:paraId="713A2D33">
      <w:pPr>
        <w:pStyle w:val="11"/>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工商营业执照（正、副本）、组织机构代码证（正、副本）、税务登记证（国、地税正副本），“三证合一”的企业仅需提供《企业法人营业执照》（须加盖公章）</w:t>
      </w:r>
    </w:p>
    <w:p w14:paraId="35372C1A">
      <w:pPr>
        <w:pStyle w:val="11"/>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增值税一般纳税人资格证书复印件；（须加盖公章）</w:t>
      </w:r>
    </w:p>
    <w:p w14:paraId="34885C1D">
      <w:pPr>
        <w:pStyle w:val="11"/>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法定代表人身份证复印件（正反两面在同一张纸上并加盖公章）；</w:t>
      </w:r>
    </w:p>
    <w:p w14:paraId="0FF8C572">
      <w:pPr>
        <w:pStyle w:val="11"/>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开户许可证复印件；（须加盖公章）</w:t>
      </w:r>
    </w:p>
    <w:p w14:paraId="4018B74E">
      <w:pPr>
        <w:pStyle w:val="11"/>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b w:val="0"/>
          <w:color w:val="auto"/>
          <w:sz w:val="21"/>
          <w:szCs w:val="21"/>
          <w:highlight w:val="none"/>
          <w:lang w:eastAsia="zh-CN"/>
        </w:rPr>
      </w:pP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授权代表身份证、授权委托书（若法人代表未亲自参与投标，该项为必备资质文件）</w:t>
      </w:r>
      <w:r>
        <w:rPr>
          <w:rFonts w:hint="eastAsia" w:ascii="宋体" w:hAnsi="宋体" w:eastAsia="宋体" w:cs="宋体"/>
          <w:snapToGrid w:val="0"/>
          <w:color w:val="auto"/>
          <w:kern w:val="0"/>
          <w:sz w:val="21"/>
          <w:szCs w:val="21"/>
          <w:highlight w:val="none"/>
          <w:lang w:eastAsia="zh-CN"/>
        </w:rPr>
        <w:t>。</w:t>
      </w:r>
    </w:p>
    <w:p w14:paraId="44559C21">
      <w:pPr>
        <w:pStyle w:val="22"/>
        <w:ind w:firstLine="0"/>
        <w:jc w:val="both"/>
        <w:rPr>
          <w:rFonts w:hint="eastAsia" w:ascii="宋体" w:hAnsi="宋体" w:eastAsia="宋体" w:cs="宋体"/>
          <w:b w:val="0"/>
          <w:color w:val="auto"/>
          <w:highlight w:val="none"/>
        </w:rPr>
      </w:pPr>
    </w:p>
    <w:p w14:paraId="2ECD5553">
      <w:pPr>
        <w:pStyle w:val="22"/>
        <w:ind w:firstLine="0"/>
        <w:jc w:val="both"/>
        <w:rPr>
          <w:rFonts w:hint="eastAsia" w:ascii="宋体" w:hAnsi="宋体" w:eastAsia="宋体" w:cs="宋体"/>
          <w:b w:val="0"/>
          <w:color w:val="auto"/>
          <w:highlight w:val="none"/>
        </w:rPr>
      </w:pPr>
    </w:p>
    <w:p w14:paraId="67EE6618">
      <w:pPr>
        <w:pStyle w:val="22"/>
        <w:ind w:firstLine="0"/>
        <w:jc w:val="both"/>
        <w:rPr>
          <w:rFonts w:hint="eastAsia" w:ascii="宋体" w:hAnsi="宋体" w:eastAsia="宋体" w:cs="宋体"/>
          <w:b w:val="0"/>
          <w:color w:val="auto"/>
          <w:highlight w:val="none"/>
        </w:rPr>
      </w:pPr>
    </w:p>
    <w:p w14:paraId="308361C6">
      <w:pPr>
        <w:pStyle w:val="22"/>
        <w:ind w:firstLine="0"/>
        <w:jc w:val="both"/>
        <w:rPr>
          <w:rFonts w:hint="eastAsia" w:ascii="宋体" w:hAnsi="宋体" w:eastAsia="宋体" w:cs="宋体"/>
          <w:b w:val="0"/>
          <w:color w:val="auto"/>
          <w:highlight w:val="none"/>
        </w:rPr>
      </w:pPr>
    </w:p>
    <w:p w14:paraId="797A44C2">
      <w:pPr>
        <w:pStyle w:val="22"/>
        <w:ind w:firstLine="0"/>
        <w:jc w:val="both"/>
        <w:rPr>
          <w:rFonts w:hint="eastAsia" w:ascii="宋体" w:hAnsi="宋体" w:eastAsia="宋体" w:cs="宋体"/>
          <w:b w:val="0"/>
          <w:color w:val="auto"/>
          <w:highlight w:val="none"/>
        </w:rPr>
      </w:pPr>
    </w:p>
    <w:p w14:paraId="1E883E18">
      <w:pPr>
        <w:pStyle w:val="22"/>
        <w:ind w:firstLine="0"/>
        <w:jc w:val="both"/>
        <w:rPr>
          <w:rFonts w:hint="eastAsia" w:ascii="宋体" w:hAnsi="宋体" w:eastAsia="宋体" w:cs="宋体"/>
          <w:b w:val="0"/>
          <w:color w:val="auto"/>
          <w:highlight w:val="none"/>
        </w:rPr>
      </w:pPr>
    </w:p>
    <w:p w14:paraId="1CDCCCAB">
      <w:pPr>
        <w:pStyle w:val="3"/>
        <w:jc w:val="center"/>
        <w:rPr>
          <w:rFonts w:hint="eastAsia" w:ascii="宋体" w:hAnsi="宋体" w:eastAsia="宋体" w:cs="宋体"/>
          <w:color w:val="auto"/>
          <w:sz w:val="30"/>
          <w:szCs w:val="30"/>
          <w:highlight w:val="none"/>
        </w:rPr>
      </w:pPr>
      <w:bookmarkStart w:id="22" w:name="_Toc38028110"/>
    </w:p>
    <w:p w14:paraId="02B0C3C7">
      <w:pPr>
        <w:pStyle w:val="3"/>
        <w:jc w:val="center"/>
        <w:rPr>
          <w:rFonts w:hint="eastAsia" w:ascii="宋体" w:hAnsi="宋体" w:eastAsia="宋体" w:cs="宋体"/>
          <w:color w:val="auto"/>
          <w:sz w:val="30"/>
          <w:szCs w:val="30"/>
          <w:highlight w:val="none"/>
        </w:rPr>
      </w:pPr>
    </w:p>
    <w:p w14:paraId="2175D22D">
      <w:pPr>
        <w:pStyle w:val="3"/>
        <w:jc w:val="center"/>
        <w:rPr>
          <w:rFonts w:hint="eastAsia" w:ascii="宋体" w:hAnsi="宋体" w:eastAsia="宋体" w:cs="宋体"/>
          <w:color w:val="auto"/>
          <w:sz w:val="30"/>
          <w:szCs w:val="30"/>
          <w:highlight w:val="none"/>
        </w:rPr>
      </w:pPr>
    </w:p>
    <w:p w14:paraId="4A4F8F7D">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bookmarkEnd w:id="22"/>
    <w:p w14:paraId="7BB326F3">
      <w:pPr>
        <w:spacing w:line="480" w:lineRule="auto"/>
        <w:rPr>
          <w:rFonts w:hint="eastAsia" w:ascii="宋体" w:hAnsi="宋体" w:eastAsia="宋体" w:cs="宋体"/>
          <w:color w:val="auto"/>
          <w:highlight w:val="none"/>
        </w:rPr>
      </w:pPr>
      <w:bookmarkStart w:id="23" w:name="_Toc38028112"/>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w:t>
      </w:r>
    </w:p>
    <w:p w14:paraId="70352751">
      <w:pPr>
        <w:pStyle w:val="3"/>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投标承诺书</w:t>
      </w:r>
      <w:bookmarkEnd w:id="23"/>
    </w:p>
    <w:p w14:paraId="1A3CAD88">
      <w:pPr>
        <w:tabs>
          <w:tab w:val="left" w:pos="8222"/>
          <w:tab w:val="left" w:pos="9356"/>
        </w:tabs>
        <w:spacing w:line="400" w:lineRule="exact"/>
        <w:ind w:right="709"/>
        <w:rPr>
          <w:rFonts w:hint="eastAsia" w:ascii="宋体" w:hAnsi="宋体" w:eastAsia="宋体" w:cs="宋体"/>
          <w:b/>
          <w:color w:val="auto"/>
          <w:sz w:val="24"/>
          <w:szCs w:val="24"/>
          <w:highlight w:val="none"/>
        </w:rPr>
      </w:pPr>
    </w:p>
    <w:p w14:paraId="7AD15760">
      <w:pPr>
        <w:tabs>
          <w:tab w:val="left" w:pos="8222"/>
          <w:tab w:val="left" w:pos="9356"/>
        </w:tabs>
        <w:spacing w:line="400" w:lineRule="exact"/>
        <w:ind w:right="70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none"/>
        </w:rPr>
        <w:t>广西京兰水泥有限公司</w:t>
      </w:r>
      <w:r>
        <w:rPr>
          <w:rFonts w:hint="eastAsia" w:ascii="宋体" w:hAnsi="宋体" w:eastAsia="宋体" w:cs="宋体"/>
          <w:snapToGrid w:val="0"/>
          <w:color w:val="auto"/>
          <w:kern w:val="0"/>
          <w:sz w:val="21"/>
          <w:szCs w:val="21"/>
          <w:highlight w:val="none"/>
        </w:rPr>
        <w:t>：</w:t>
      </w:r>
    </w:p>
    <w:p w14:paraId="24468B60">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若我司在贵司组织的招标文件编号为《</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》的招标项目中被定为中标单位，为维护招标投标的严肃性，我司保证：</w:t>
      </w:r>
    </w:p>
    <w:p w14:paraId="0F108500">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一、我司提供的资质证书、企业各类资格材料均有效属实，否则，同意被废除投标资格并接受处罚。</w:t>
      </w:r>
    </w:p>
    <w:p w14:paraId="5CB35E59">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二、我司接受招标文件全部内容</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含补充文件、答疑文件</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，否则，同意被废除投标资格并接受处罚。</w:t>
      </w:r>
    </w:p>
    <w:p w14:paraId="586330EE">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三、我司保证投标文件内容无任何虚假。</w:t>
      </w:r>
      <w:r>
        <w:rPr>
          <w:rFonts w:hint="eastAsia" w:hAnsi="宋体" w:cs="宋体"/>
          <w:snapToGrid w:val="0"/>
          <w:color w:val="auto"/>
          <w:kern w:val="0"/>
          <w:sz w:val="21"/>
          <w:szCs w:val="21"/>
          <w:highlight w:val="none"/>
          <w:lang w:eastAsia="zh-CN"/>
        </w:rPr>
        <w:t>若评标过程中发现虚假情况，则同意视为无效投标文件处理，并接受投标保证金被没收；若中标后发现虚假情况，则同意废除中标资格，并接受投标保证金或履约保证金被没收。</w:t>
      </w:r>
    </w:p>
    <w:p w14:paraId="3B1FC4AB">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四、</w:t>
      </w:r>
      <w:r>
        <w:rPr>
          <w:rFonts w:hint="eastAsia" w:hAnsi="宋体" w:cs="宋体"/>
          <w:snapToGrid w:val="0"/>
          <w:color w:val="auto"/>
          <w:kern w:val="0"/>
          <w:sz w:val="21"/>
          <w:szCs w:val="21"/>
          <w:highlight w:val="none"/>
          <w:lang w:eastAsia="zh-CN"/>
        </w:rPr>
        <w:t>我司郑重承诺，投标文件中不存在低于成本的恶意报价行为，也不存在恶意抬高报价行为。否则，我司同意接受招标单位的违约处罚，并接受投标保证金被没收。</w:t>
      </w:r>
    </w:p>
    <w:p w14:paraId="3DD04AB7">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五、</w:t>
      </w:r>
      <w:r>
        <w:rPr>
          <w:rFonts w:hint="eastAsia" w:hAnsi="宋体" w:cs="宋体"/>
          <w:snapToGrid w:val="0"/>
          <w:color w:val="auto"/>
          <w:kern w:val="0"/>
          <w:sz w:val="21"/>
          <w:szCs w:val="21"/>
          <w:highlight w:val="none"/>
          <w:lang w:eastAsia="zh-CN"/>
        </w:rPr>
        <w:t>我司保证严格按照合同约定，完成合同范围内的全部工作内容，并切实履行保供责任。否则，我司同意接受招标人对投标人的违约处罚，并接受履约保证金被没收。</w:t>
      </w:r>
    </w:p>
    <w:p w14:paraId="1544C7A1">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六、</w:t>
      </w:r>
      <w:r>
        <w:rPr>
          <w:rFonts w:hint="eastAsia" w:hAnsi="宋体" w:cs="宋体"/>
          <w:snapToGrid w:val="0"/>
          <w:color w:val="auto"/>
          <w:kern w:val="0"/>
          <w:sz w:val="21"/>
          <w:szCs w:val="21"/>
          <w:highlight w:val="none"/>
          <w:lang w:eastAsia="zh-CN"/>
        </w:rPr>
        <w:t>我司郑重声明，绝不参与陪标、围标、串标或欺诈等任何骗取中标的行为。否则，我司同意接受贵司及行政主管部门的严厉处罚。</w:t>
      </w:r>
    </w:p>
    <w:p w14:paraId="5626780B">
      <w:pPr>
        <w:widowControl/>
        <w:spacing w:line="480" w:lineRule="exact"/>
        <w:ind w:firstLine="480" w:firstLineChars="200"/>
        <w:jc w:val="left"/>
        <w:rPr>
          <w:rFonts w:hint="eastAsia" w:ascii="宋体" w:hAnsi="宋体" w:eastAsia="宋体" w:cs="宋体"/>
          <w:snapToGrid w:val="0"/>
          <w:color w:val="auto"/>
          <w:kern w:val="0"/>
          <w:sz w:val="24"/>
          <w:szCs w:val="24"/>
          <w:highlight w:val="none"/>
        </w:rPr>
      </w:pPr>
    </w:p>
    <w:p w14:paraId="1F378461">
      <w:pPr>
        <w:widowControl/>
        <w:spacing w:line="480" w:lineRule="exact"/>
        <w:ind w:firstLine="480" w:firstLineChars="200"/>
        <w:jc w:val="left"/>
        <w:rPr>
          <w:rFonts w:hint="eastAsia" w:ascii="宋体" w:hAnsi="宋体" w:eastAsia="宋体" w:cs="宋体"/>
          <w:snapToGrid w:val="0"/>
          <w:color w:val="auto"/>
          <w:kern w:val="0"/>
          <w:sz w:val="24"/>
          <w:szCs w:val="24"/>
          <w:highlight w:val="none"/>
        </w:rPr>
      </w:pPr>
    </w:p>
    <w:p w14:paraId="36D35686">
      <w:pPr>
        <w:widowControl/>
        <w:spacing w:line="480" w:lineRule="auto"/>
        <w:ind w:firstLine="3885" w:firstLineChars="18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法人代表（签字）：</w:t>
      </w:r>
    </w:p>
    <w:p w14:paraId="1FF0DB4F">
      <w:pPr>
        <w:widowControl/>
        <w:spacing w:line="48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投标单位全称 </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公章</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w:t>
      </w:r>
    </w:p>
    <w:p w14:paraId="6BE2DA33">
      <w:pPr>
        <w:widowControl/>
        <w:spacing w:line="48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日　期：     年     月     日</w:t>
      </w:r>
    </w:p>
    <w:p w14:paraId="48EA3379">
      <w:pPr>
        <w:spacing w:line="480" w:lineRule="auto"/>
        <w:rPr>
          <w:rFonts w:hint="eastAsia" w:ascii="宋体" w:hAnsi="宋体" w:eastAsia="宋体" w:cs="宋体"/>
          <w:color w:val="auto"/>
          <w:szCs w:val="21"/>
          <w:highlight w:val="none"/>
        </w:rPr>
      </w:pPr>
      <w:bookmarkStart w:id="24" w:name="_Toc38028113"/>
    </w:p>
    <w:p w14:paraId="43C6C0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2D250E">
      <w:pPr>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p>
    <w:p w14:paraId="71DD2CD1">
      <w:pPr>
        <w:pStyle w:val="3"/>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保供条款</w:t>
      </w:r>
      <w:bookmarkEnd w:id="24"/>
    </w:p>
    <w:p w14:paraId="2D4A6C3C">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ascii="宋体" w:hAnsi="宋体" w:eastAsia="宋体" w:cs="宋体"/>
          <w:color w:val="auto"/>
          <w:highlight w:val="none"/>
        </w:rPr>
      </w:pPr>
    </w:p>
    <w:p w14:paraId="4D6CE7B9">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一</w:t>
      </w:r>
      <w:r>
        <w:rPr>
          <w:rFonts w:hint="eastAsia" w:ascii="宋体" w:hAnsi="宋体" w:eastAsia="宋体" w:cs="宋体"/>
          <w:snapToGrid w:val="0"/>
          <w:color w:val="auto"/>
          <w:kern w:val="0"/>
          <w:sz w:val="21"/>
          <w:szCs w:val="21"/>
          <w:highlight w:val="none"/>
        </w:rPr>
        <w:t>、若我司在贵司组织的此次</w:t>
      </w:r>
      <w:r>
        <w:rPr>
          <w:rFonts w:hint="eastAsia" w:ascii="宋体" w:hAnsi="宋体" w:eastAsia="宋体" w:cs="宋体"/>
          <w:snapToGrid w:val="0"/>
          <w:color w:val="auto"/>
          <w:kern w:val="0"/>
          <w:sz w:val="21"/>
          <w:szCs w:val="21"/>
          <w:highlight w:val="none"/>
          <w:u w:val="single"/>
          <w:lang w:val="en-US" w:eastAsia="zh-CN"/>
        </w:rPr>
        <w:t>2025-2026京兰水泥武宣至广东船舶运输服务项</w:t>
      </w:r>
      <w:r>
        <w:rPr>
          <w:rFonts w:hint="eastAsia" w:ascii="宋体" w:hAnsi="宋体" w:eastAsia="宋体" w:cs="宋体"/>
          <w:snapToGrid w:val="0"/>
          <w:color w:val="auto"/>
          <w:kern w:val="0"/>
          <w:sz w:val="21"/>
          <w:szCs w:val="21"/>
          <w:highlight w:val="none"/>
          <w:lang w:val="en-US" w:eastAsia="zh-CN"/>
        </w:rPr>
        <w:t>目</w:t>
      </w:r>
      <w:r>
        <w:rPr>
          <w:rFonts w:hint="eastAsia" w:ascii="宋体" w:hAnsi="宋体" w:eastAsia="宋体" w:cs="宋体"/>
          <w:snapToGrid w:val="0"/>
          <w:color w:val="auto"/>
          <w:kern w:val="0"/>
          <w:sz w:val="21"/>
          <w:szCs w:val="21"/>
          <w:highlight w:val="none"/>
        </w:rPr>
        <w:t>招标项目通过评审并被定为中标单位，单向（下航）周承运能力</w:t>
      </w:r>
      <w:r>
        <w:rPr>
          <w:rFonts w:hint="eastAsia" w:ascii="宋体" w:hAnsi="宋体" w:eastAsia="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万吨/周以上。</w:t>
      </w:r>
    </w:p>
    <w:p w14:paraId="6ED5A7D8">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、在合同有效期内，招标人每周下达各航线运输计划，若计划量在中标人承诺的周运输能力内，中标人必须按招标人运输计划进行运力组织，配合装、运、卸货安排。</w:t>
      </w:r>
    </w:p>
    <w:p w14:paraId="78425A0C">
      <w:pPr>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w:t>
      </w:r>
      <w:r>
        <w:rPr>
          <w:rFonts w:hint="eastAsia" w:hAnsi="宋体" w:cs="宋体"/>
          <w:snapToGrid w:val="0"/>
          <w:color w:val="auto"/>
          <w:kern w:val="0"/>
          <w:sz w:val="21"/>
          <w:szCs w:val="21"/>
          <w:highlight w:val="none"/>
          <w:lang w:eastAsia="zh-CN"/>
        </w:rPr>
        <w:t>若因中标人运力组织不到位，未能完成运输计划的80%，招标人有权对中标人未完成计划作处罚，处罚标准=（月运输计划80%-实际完成量）×5元/吨，若月度计划完成80%以上则不予处罚。</w:t>
      </w:r>
    </w:p>
    <w:p w14:paraId="25435150">
      <w:pPr>
        <w:widowControl/>
        <w:spacing w:line="480" w:lineRule="exact"/>
        <w:jc w:val="left"/>
        <w:rPr>
          <w:rFonts w:hint="eastAsia" w:ascii="宋体" w:hAnsi="宋体" w:eastAsia="宋体" w:cs="宋体"/>
          <w:snapToGrid w:val="0"/>
          <w:color w:val="auto"/>
          <w:kern w:val="0"/>
          <w:sz w:val="18"/>
          <w:szCs w:val="18"/>
          <w:highlight w:val="none"/>
        </w:rPr>
      </w:pPr>
    </w:p>
    <w:p w14:paraId="6E917BB4">
      <w:pPr>
        <w:widowControl/>
        <w:spacing w:line="480" w:lineRule="exact"/>
        <w:jc w:val="left"/>
        <w:rPr>
          <w:rFonts w:hint="eastAsia" w:ascii="宋体" w:hAnsi="宋体" w:eastAsia="宋体" w:cs="宋体"/>
          <w:snapToGrid w:val="0"/>
          <w:color w:val="auto"/>
          <w:kern w:val="0"/>
          <w:sz w:val="18"/>
          <w:szCs w:val="18"/>
          <w:highlight w:val="none"/>
        </w:rPr>
      </w:pPr>
    </w:p>
    <w:p w14:paraId="4D40ABBB">
      <w:pPr>
        <w:spacing w:line="480" w:lineRule="auto"/>
        <w:ind w:firstLine="4529" w:firstLineChars="215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64684280">
      <w:pPr>
        <w:spacing w:line="480" w:lineRule="auto"/>
        <w:ind w:firstLine="4515" w:firstLineChars="21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62A84DAD">
      <w:pPr>
        <w:spacing w:line="480" w:lineRule="auto"/>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　期：     年      月      日</w:t>
      </w:r>
    </w:p>
    <w:p w14:paraId="1A0B8119">
      <w:pPr>
        <w:pStyle w:val="2"/>
        <w:rPr>
          <w:rFonts w:hint="eastAsia" w:ascii="宋体" w:hAnsi="宋体" w:eastAsia="宋体" w:cs="宋体"/>
          <w:snapToGrid w:val="0"/>
          <w:color w:val="auto"/>
          <w:kern w:val="0"/>
          <w:sz w:val="24"/>
          <w:szCs w:val="24"/>
          <w:highlight w:val="none"/>
        </w:rPr>
      </w:pPr>
    </w:p>
    <w:p w14:paraId="39D0EB9B">
      <w:pPr>
        <w:rPr>
          <w:rFonts w:hint="eastAsia" w:ascii="宋体" w:hAnsi="宋体" w:eastAsia="宋体" w:cs="宋体"/>
          <w:snapToGrid w:val="0"/>
          <w:color w:val="auto"/>
          <w:kern w:val="0"/>
          <w:sz w:val="24"/>
          <w:szCs w:val="24"/>
          <w:highlight w:val="none"/>
        </w:rPr>
      </w:pPr>
    </w:p>
    <w:p w14:paraId="20711CD8">
      <w:pPr>
        <w:rPr>
          <w:rFonts w:hint="eastAsia" w:ascii="宋体" w:hAnsi="宋体" w:eastAsia="宋体" w:cs="宋体"/>
          <w:color w:val="auto"/>
          <w:szCs w:val="21"/>
          <w:highlight w:val="none"/>
        </w:rPr>
      </w:pPr>
      <w:bookmarkStart w:id="25" w:name="_Toc38028114"/>
      <w:r>
        <w:rPr>
          <w:rFonts w:hint="eastAsia" w:ascii="宋体" w:hAnsi="宋体" w:eastAsia="宋体" w:cs="宋体"/>
          <w:color w:val="auto"/>
          <w:szCs w:val="21"/>
          <w:highlight w:val="none"/>
        </w:rPr>
        <w:br w:type="page"/>
      </w:r>
    </w:p>
    <w:p w14:paraId="03AD17E6">
      <w:pPr>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w:t>
      </w:r>
    </w:p>
    <w:p w14:paraId="0B673F51">
      <w:pPr>
        <w:pStyle w:val="3"/>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投标保证金缴纳证明</w:t>
      </w:r>
      <w:bookmarkEnd w:id="25"/>
    </w:p>
    <w:p w14:paraId="61E536E5">
      <w:pPr>
        <w:rPr>
          <w:rFonts w:hint="eastAsia" w:ascii="宋体" w:hAnsi="宋体" w:eastAsia="宋体" w:cs="宋体"/>
          <w:color w:val="auto"/>
          <w:sz w:val="21"/>
          <w:szCs w:val="21"/>
          <w:highlight w:val="none"/>
        </w:rPr>
      </w:pPr>
    </w:p>
    <w:p w14:paraId="28AA20E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请附银行付款底单扫描件。</w:t>
      </w:r>
    </w:p>
    <w:p w14:paraId="461BAB8E">
      <w:pPr>
        <w:pStyle w:val="2"/>
        <w:rPr>
          <w:rFonts w:hint="eastAsia" w:ascii="宋体" w:hAnsi="宋体" w:eastAsia="宋体" w:cs="宋体"/>
          <w:color w:val="auto"/>
          <w:sz w:val="24"/>
          <w:szCs w:val="24"/>
          <w:highlight w:val="none"/>
        </w:rPr>
      </w:pPr>
    </w:p>
    <w:p w14:paraId="26948D9F">
      <w:pPr>
        <w:rPr>
          <w:rFonts w:hint="eastAsia" w:ascii="宋体" w:hAnsi="宋体" w:eastAsia="宋体" w:cs="宋体"/>
          <w:color w:val="auto"/>
          <w:sz w:val="24"/>
          <w:szCs w:val="24"/>
          <w:highlight w:val="none"/>
        </w:rPr>
      </w:pPr>
    </w:p>
    <w:p w14:paraId="1E743FBD">
      <w:pPr>
        <w:pStyle w:val="2"/>
        <w:rPr>
          <w:rFonts w:hint="eastAsia" w:ascii="宋体" w:hAnsi="宋体" w:eastAsia="宋体" w:cs="宋体"/>
          <w:color w:val="auto"/>
          <w:sz w:val="24"/>
          <w:szCs w:val="24"/>
          <w:highlight w:val="none"/>
        </w:rPr>
      </w:pPr>
    </w:p>
    <w:p w14:paraId="39241239">
      <w:pPr>
        <w:rPr>
          <w:rFonts w:hint="eastAsia" w:ascii="宋体" w:hAnsi="宋体" w:eastAsia="宋体" w:cs="宋体"/>
          <w:color w:val="auto"/>
          <w:sz w:val="24"/>
          <w:szCs w:val="24"/>
          <w:highlight w:val="none"/>
        </w:rPr>
      </w:pPr>
    </w:p>
    <w:p w14:paraId="482E4868">
      <w:pPr>
        <w:pStyle w:val="2"/>
        <w:rPr>
          <w:rFonts w:hint="eastAsia" w:ascii="宋体" w:hAnsi="宋体" w:eastAsia="宋体" w:cs="宋体"/>
          <w:color w:val="auto"/>
          <w:sz w:val="24"/>
          <w:szCs w:val="24"/>
          <w:highlight w:val="none"/>
        </w:rPr>
      </w:pPr>
    </w:p>
    <w:p w14:paraId="792236F2">
      <w:pPr>
        <w:rPr>
          <w:rFonts w:hint="eastAsia" w:ascii="宋体" w:hAnsi="宋体" w:eastAsia="宋体" w:cs="宋体"/>
          <w:color w:val="auto"/>
          <w:sz w:val="24"/>
          <w:szCs w:val="24"/>
          <w:highlight w:val="none"/>
        </w:rPr>
      </w:pPr>
    </w:p>
    <w:p w14:paraId="1651B801">
      <w:pPr>
        <w:pStyle w:val="2"/>
        <w:rPr>
          <w:rFonts w:hint="eastAsia" w:ascii="宋体" w:hAnsi="宋体" w:eastAsia="宋体" w:cs="宋体"/>
          <w:color w:val="auto"/>
          <w:sz w:val="24"/>
          <w:szCs w:val="24"/>
          <w:highlight w:val="none"/>
        </w:rPr>
      </w:pPr>
    </w:p>
    <w:p w14:paraId="1948A5DB">
      <w:pPr>
        <w:rPr>
          <w:rFonts w:hint="eastAsia" w:ascii="宋体" w:hAnsi="宋体" w:eastAsia="宋体" w:cs="宋体"/>
          <w:color w:val="auto"/>
          <w:sz w:val="24"/>
          <w:szCs w:val="24"/>
          <w:highlight w:val="none"/>
        </w:rPr>
      </w:pPr>
    </w:p>
    <w:p w14:paraId="2190DB44">
      <w:pPr>
        <w:pStyle w:val="2"/>
        <w:rPr>
          <w:rFonts w:hint="eastAsia" w:ascii="宋体" w:hAnsi="宋体" w:eastAsia="宋体" w:cs="宋体"/>
          <w:color w:val="auto"/>
          <w:sz w:val="24"/>
          <w:szCs w:val="24"/>
          <w:highlight w:val="none"/>
        </w:rPr>
      </w:pPr>
    </w:p>
    <w:p w14:paraId="42563868">
      <w:pPr>
        <w:rPr>
          <w:rFonts w:hint="eastAsia" w:ascii="宋体" w:hAnsi="宋体" w:eastAsia="宋体" w:cs="宋体"/>
          <w:color w:val="auto"/>
          <w:sz w:val="24"/>
          <w:szCs w:val="24"/>
          <w:highlight w:val="none"/>
        </w:rPr>
      </w:pPr>
    </w:p>
    <w:p w14:paraId="77999826">
      <w:pPr>
        <w:pStyle w:val="2"/>
        <w:rPr>
          <w:rFonts w:hint="eastAsia" w:ascii="宋体" w:hAnsi="宋体" w:eastAsia="宋体" w:cs="宋体"/>
          <w:color w:val="auto"/>
          <w:sz w:val="24"/>
          <w:szCs w:val="24"/>
          <w:highlight w:val="none"/>
        </w:rPr>
      </w:pPr>
    </w:p>
    <w:p w14:paraId="077C85B5">
      <w:pPr>
        <w:rPr>
          <w:rFonts w:hint="eastAsia" w:ascii="宋体" w:hAnsi="宋体" w:eastAsia="宋体" w:cs="宋体"/>
          <w:color w:val="auto"/>
          <w:sz w:val="24"/>
          <w:szCs w:val="24"/>
          <w:highlight w:val="none"/>
        </w:rPr>
      </w:pPr>
    </w:p>
    <w:p w14:paraId="1403F6AA">
      <w:pPr>
        <w:pStyle w:val="2"/>
        <w:rPr>
          <w:rFonts w:hint="eastAsia"/>
        </w:rPr>
      </w:pPr>
    </w:p>
    <w:p w14:paraId="5672D9E4">
      <w:pPr>
        <w:pStyle w:val="2"/>
        <w:rPr>
          <w:rFonts w:hint="eastAsia" w:ascii="宋体" w:hAnsi="宋体" w:eastAsia="宋体" w:cs="宋体"/>
          <w:color w:val="auto"/>
          <w:sz w:val="24"/>
          <w:szCs w:val="24"/>
          <w:highlight w:val="none"/>
        </w:rPr>
      </w:pPr>
    </w:p>
    <w:p w14:paraId="669E166E">
      <w:pPr>
        <w:rPr>
          <w:rFonts w:hint="eastAsia" w:ascii="宋体" w:hAnsi="宋体" w:eastAsia="宋体" w:cs="宋体"/>
          <w:color w:val="auto"/>
          <w:highlight w:val="none"/>
        </w:rPr>
      </w:pPr>
    </w:p>
    <w:p w14:paraId="179108A0">
      <w:pPr>
        <w:spacing w:line="480" w:lineRule="auto"/>
        <w:rPr>
          <w:rFonts w:hint="eastAsia" w:ascii="宋体" w:hAnsi="宋体" w:eastAsia="宋体" w:cs="宋体"/>
          <w:color w:val="auto"/>
          <w:sz w:val="30"/>
          <w:szCs w:val="30"/>
          <w:highlight w:val="none"/>
        </w:rPr>
      </w:pPr>
      <w:bookmarkStart w:id="26" w:name="_Toc38028115"/>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w:t>
      </w:r>
    </w:p>
    <w:p w14:paraId="22EB2A1C">
      <w:pPr>
        <w:pStyle w:val="3"/>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阳光宣言</w:t>
      </w:r>
      <w:bookmarkEnd w:id="26"/>
    </w:p>
    <w:p w14:paraId="48F9B3E7">
      <w:pPr>
        <w:rPr>
          <w:rFonts w:hint="eastAsia" w:ascii="宋体" w:hAnsi="宋体" w:eastAsia="宋体" w:cs="宋体"/>
          <w:color w:val="auto"/>
          <w:highlight w:val="none"/>
        </w:rPr>
      </w:pPr>
    </w:p>
    <w:p w14:paraId="2411878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一、不以向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员工及其亲属提供任何个人利益的方式谋求与</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的合作关系。</w:t>
      </w:r>
    </w:p>
    <w:p w14:paraId="7FFA271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二、不与</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员工就标底、其他单位的投标书等商业秘密及合同中的条款进行私下商谈或者达成默契。</w:t>
      </w:r>
    </w:p>
    <w:p w14:paraId="5764F0A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三、不与</w:t>
      </w:r>
      <w:r>
        <w:rPr>
          <w:rFonts w:hint="eastAsia" w:hAnsi="宋体" w:cs="宋体"/>
          <w:color w:val="auto"/>
          <w:kern w:val="0"/>
          <w:sz w:val="21"/>
          <w:szCs w:val="21"/>
          <w:highlight w:val="none"/>
          <w:lang w:eastAsia="zh-CN"/>
        </w:rPr>
        <w:t>其他</w:t>
      </w:r>
      <w:r>
        <w:rPr>
          <w:rFonts w:hint="eastAsia" w:ascii="宋体" w:hAnsi="宋体" w:eastAsia="宋体" w:cs="宋体"/>
          <w:color w:val="auto"/>
          <w:kern w:val="0"/>
          <w:sz w:val="21"/>
          <w:szCs w:val="21"/>
          <w:highlight w:val="none"/>
        </w:rPr>
        <w:t>单位串通投标，不采取恶性竞争等不正当手段竞争业务。</w:t>
      </w:r>
    </w:p>
    <w:p w14:paraId="0FCA62D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员工或其请托人、代理人提供好处费、回扣、现金及有价证券、支付凭证、贵重礼物。不向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员工及其亲属提供可能影响其公正履行职务行为的宴请和娱乐、体育、休闲、旅游活动。</w:t>
      </w:r>
    </w:p>
    <w:p w14:paraId="57C3E3B7">
      <w:pPr>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五、</w:t>
      </w:r>
      <w:r>
        <w:rPr>
          <w:rFonts w:hint="eastAsia" w:hAnsi="宋体" w:cs="宋体"/>
          <w:color w:val="auto"/>
          <w:kern w:val="0"/>
          <w:sz w:val="21"/>
          <w:szCs w:val="21"/>
          <w:highlight w:val="none"/>
          <w:lang w:eastAsia="zh-CN"/>
        </w:rPr>
        <w:t>一旦发现本单位人员有向京兰员工行贿的倾向、建议行为，应立即予以制止并进行批评教育；同样，若发现京兰员工存在索贿、受贿行为，应坚决拒绝，并及时向京兰相关领导或纪检监察部门举报（举报电话：15007887612）。</w:t>
      </w:r>
    </w:p>
    <w:p w14:paraId="6A706518">
      <w:pPr>
        <w:pStyle w:val="3"/>
        <w:spacing w:line="360" w:lineRule="auto"/>
        <w:jc w:val="center"/>
        <w:rPr>
          <w:rFonts w:hint="eastAsia" w:ascii="宋体" w:hAnsi="宋体" w:eastAsia="宋体" w:cs="宋体"/>
          <w:color w:val="auto"/>
          <w:sz w:val="24"/>
          <w:szCs w:val="24"/>
          <w:highlight w:val="none"/>
        </w:rPr>
      </w:pPr>
    </w:p>
    <w:p w14:paraId="5A33E702">
      <w:pPr>
        <w:rPr>
          <w:rFonts w:hint="eastAsia" w:ascii="宋体" w:hAnsi="宋体" w:eastAsia="宋体" w:cs="宋体"/>
          <w:color w:val="auto"/>
          <w:highlight w:val="none"/>
        </w:rPr>
      </w:pPr>
    </w:p>
    <w:p w14:paraId="79628FA0">
      <w:pPr>
        <w:rPr>
          <w:rFonts w:hint="eastAsia" w:ascii="宋体" w:hAnsi="宋体" w:eastAsia="宋体" w:cs="宋体"/>
          <w:color w:val="auto"/>
          <w:highlight w:val="none"/>
        </w:rPr>
      </w:pPr>
    </w:p>
    <w:p w14:paraId="4703E911">
      <w:pPr>
        <w:rPr>
          <w:rFonts w:hint="eastAsia" w:ascii="宋体" w:hAnsi="宋体" w:eastAsia="宋体" w:cs="宋体"/>
          <w:color w:val="auto"/>
          <w:highlight w:val="none"/>
        </w:rPr>
      </w:pPr>
    </w:p>
    <w:p w14:paraId="65B5D023">
      <w:pPr>
        <w:rPr>
          <w:rFonts w:hint="eastAsia" w:ascii="宋体" w:hAnsi="宋体" w:eastAsia="宋体" w:cs="宋体"/>
          <w:color w:val="auto"/>
          <w:highlight w:val="none"/>
        </w:rPr>
      </w:pPr>
    </w:p>
    <w:p w14:paraId="7E29C40A">
      <w:pPr>
        <w:rPr>
          <w:rFonts w:hint="eastAsia" w:ascii="宋体" w:hAnsi="宋体" w:eastAsia="宋体" w:cs="宋体"/>
          <w:color w:val="auto"/>
          <w:sz w:val="21"/>
          <w:szCs w:val="21"/>
          <w:highlight w:val="none"/>
        </w:rPr>
      </w:pPr>
    </w:p>
    <w:p w14:paraId="1CE2C53D">
      <w:pPr>
        <w:spacing w:line="480" w:lineRule="auto"/>
        <w:ind w:firstLine="4109" w:firstLineChars="195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7F2F9CE6">
      <w:pPr>
        <w:spacing w:line="480" w:lineRule="auto"/>
        <w:ind w:firstLine="4095" w:firstLineChars="19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2892329D">
      <w:pPr>
        <w:spacing w:line="480" w:lineRule="auto"/>
        <w:ind w:firstLine="420" w:firstLineChars="200"/>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w:t>
      </w: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　期：    年      月      日</w:t>
      </w:r>
    </w:p>
    <w:p w14:paraId="4D627044">
      <w:pPr>
        <w:pStyle w:val="2"/>
        <w:rPr>
          <w:rFonts w:hint="eastAsia" w:ascii="宋体" w:hAnsi="宋体" w:eastAsia="宋体" w:cs="宋体"/>
          <w:color w:val="auto"/>
          <w:highlight w:val="none"/>
        </w:rPr>
      </w:pPr>
    </w:p>
    <w:p w14:paraId="507E9325">
      <w:pPr>
        <w:pStyle w:val="22"/>
        <w:ind w:firstLine="0"/>
        <w:rPr>
          <w:rFonts w:hint="eastAsia" w:ascii="宋体" w:hAnsi="宋体" w:eastAsia="宋体" w:cs="宋体"/>
          <w:b w:val="0"/>
          <w:color w:val="auto"/>
          <w:highlight w:val="none"/>
        </w:rPr>
      </w:pPr>
    </w:p>
    <w:p w14:paraId="5C45F6D5">
      <w:pPr>
        <w:pStyle w:val="22"/>
        <w:ind w:firstLine="0"/>
        <w:rPr>
          <w:rFonts w:hint="eastAsia" w:ascii="宋体" w:hAnsi="宋体" w:eastAsia="宋体" w:cs="宋体"/>
          <w:b w:val="0"/>
          <w:color w:val="auto"/>
          <w:highlight w:val="none"/>
        </w:rPr>
      </w:pPr>
    </w:p>
    <w:p w14:paraId="63E2BDDF">
      <w:pPr>
        <w:pStyle w:val="22"/>
        <w:ind w:firstLine="0"/>
        <w:rPr>
          <w:rFonts w:hint="eastAsia" w:ascii="宋体" w:hAnsi="宋体" w:eastAsia="宋体" w:cs="宋体"/>
          <w:b w:val="0"/>
          <w:color w:val="auto"/>
          <w:highlight w:val="none"/>
        </w:rPr>
      </w:pPr>
    </w:p>
    <w:p w14:paraId="56185269">
      <w:pPr>
        <w:pStyle w:val="22"/>
        <w:ind w:firstLine="0"/>
        <w:jc w:val="both"/>
        <w:rPr>
          <w:rFonts w:hint="eastAsia" w:ascii="宋体" w:hAnsi="宋体" w:eastAsia="宋体" w:cs="宋体"/>
          <w:b w:val="0"/>
          <w:color w:val="auto"/>
          <w:highlight w:val="none"/>
        </w:rPr>
      </w:pPr>
    </w:p>
    <w:p w14:paraId="6CA66253">
      <w:pPr>
        <w:pStyle w:val="22"/>
        <w:ind w:firstLine="0"/>
        <w:rPr>
          <w:rFonts w:hint="eastAsia" w:ascii="宋体" w:hAnsi="宋体" w:eastAsia="宋体" w:cs="宋体"/>
          <w:b w:val="0"/>
          <w:color w:val="auto"/>
          <w:highlight w:val="none"/>
        </w:rPr>
      </w:pPr>
    </w:p>
    <w:p w14:paraId="26FC7207">
      <w:pPr>
        <w:pStyle w:val="22"/>
        <w:ind w:firstLine="0"/>
        <w:rPr>
          <w:rFonts w:hint="eastAsia" w:ascii="宋体" w:hAnsi="宋体" w:eastAsia="宋体" w:cs="宋体"/>
          <w:b w:val="0"/>
          <w:color w:val="auto"/>
          <w:highlight w:val="none"/>
        </w:rPr>
      </w:pPr>
    </w:p>
    <w:p w14:paraId="5448200E">
      <w:pPr>
        <w:pStyle w:val="22"/>
        <w:ind w:firstLine="0"/>
        <w:rPr>
          <w:rFonts w:hint="eastAsia" w:ascii="宋体" w:hAnsi="宋体" w:eastAsia="宋体" w:cs="宋体"/>
          <w:b w:val="0"/>
          <w:color w:val="auto"/>
          <w:highlight w:val="none"/>
        </w:rPr>
      </w:pPr>
    </w:p>
    <w:p w14:paraId="30D0EB1C">
      <w:pPr>
        <w:pStyle w:val="22"/>
        <w:ind w:firstLine="2570" w:firstLineChars="800"/>
        <w:jc w:val="both"/>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 xml:space="preserve">第三章    </w:t>
      </w:r>
      <w:r>
        <w:rPr>
          <w:rFonts w:hint="eastAsia" w:ascii="宋体" w:hAnsi="宋体" w:eastAsia="宋体" w:cs="宋体"/>
          <w:b/>
          <w:bCs w:val="0"/>
          <w:color w:val="auto"/>
          <w:sz w:val="32"/>
          <w:szCs w:val="32"/>
          <w:highlight w:val="none"/>
          <w:lang w:val="en-US" w:eastAsia="zh-CN"/>
        </w:rPr>
        <w:t>合同主要条款</w:t>
      </w:r>
    </w:p>
    <w:p w14:paraId="57BD9DEB">
      <w:pPr>
        <w:rPr>
          <w:rFonts w:hint="eastAsia" w:ascii="宋体" w:hAnsi="宋体" w:eastAsia="宋体" w:cs="宋体"/>
          <w:color w:val="auto"/>
          <w:highlight w:val="none"/>
          <w:lang w:eastAsia="zh-CN"/>
        </w:rPr>
      </w:pPr>
    </w:p>
    <w:p w14:paraId="1EA627FA">
      <w:pPr>
        <w:pStyle w:val="2"/>
        <w:rPr>
          <w:rFonts w:hint="eastAsia" w:ascii="宋体" w:hAnsi="宋体" w:eastAsia="宋体" w:cs="宋体"/>
          <w:color w:val="auto"/>
          <w:highlight w:val="none"/>
          <w:lang w:eastAsia="zh-CN"/>
        </w:rPr>
      </w:pPr>
    </w:p>
    <w:p w14:paraId="01014717">
      <w:pPr>
        <w:rPr>
          <w:rFonts w:hint="eastAsia" w:ascii="宋体" w:hAnsi="宋体" w:eastAsia="宋体" w:cs="宋体"/>
          <w:color w:val="auto"/>
          <w:highlight w:val="none"/>
          <w:lang w:eastAsia="zh-CN"/>
        </w:rPr>
      </w:pPr>
    </w:p>
    <w:p w14:paraId="7BC95FE7">
      <w:pPr>
        <w:pStyle w:val="2"/>
        <w:rPr>
          <w:rFonts w:hint="eastAsia" w:ascii="宋体" w:hAnsi="宋体" w:eastAsia="宋体" w:cs="宋体"/>
          <w:color w:val="auto"/>
          <w:highlight w:val="none"/>
          <w:lang w:eastAsia="zh-CN"/>
        </w:rPr>
      </w:pPr>
    </w:p>
    <w:p w14:paraId="197268CB">
      <w:pPr>
        <w:rPr>
          <w:rFonts w:hint="eastAsia" w:ascii="宋体" w:hAnsi="宋体" w:eastAsia="宋体" w:cs="宋体"/>
          <w:color w:val="auto"/>
          <w:highlight w:val="none"/>
          <w:lang w:eastAsia="zh-CN"/>
        </w:rPr>
      </w:pPr>
    </w:p>
    <w:p w14:paraId="54C98F88">
      <w:pPr>
        <w:pStyle w:val="2"/>
        <w:rPr>
          <w:rFonts w:hint="eastAsia" w:ascii="宋体" w:hAnsi="宋体" w:eastAsia="宋体" w:cs="宋体"/>
          <w:color w:val="auto"/>
          <w:highlight w:val="none"/>
          <w:lang w:eastAsia="zh-CN"/>
        </w:rPr>
      </w:pPr>
    </w:p>
    <w:p w14:paraId="2592E7FD">
      <w:pPr>
        <w:rPr>
          <w:rFonts w:hint="eastAsia" w:ascii="宋体" w:hAnsi="宋体" w:eastAsia="宋体" w:cs="宋体"/>
          <w:color w:val="auto"/>
          <w:highlight w:val="none"/>
          <w:lang w:eastAsia="zh-CN"/>
        </w:rPr>
      </w:pPr>
    </w:p>
    <w:p w14:paraId="336DDFAD">
      <w:pPr>
        <w:pStyle w:val="2"/>
        <w:rPr>
          <w:rFonts w:hint="eastAsia" w:ascii="宋体" w:hAnsi="宋体" w:eastAsia="宋体" w:cs="宋体"/>
          <w:color w:val="auto"/>
          <w:highlight w:val="none"/>
          <w:lang w:eastAsia="zh-CN"/>
        </w:rPr>
      </w:pPr>
    </w:p>
    <w:p w14:paraId="64198C76">
      <w:pPr>
        <w:pStyle w:val="28"/>
        <w:ind w:firstLine="0"/>
        <w:rPr>
          <w:rFonts w:hint="eastAsia" w:ascii="宋体" w:hAnsi="宋体" w:eastAsia="宋体" w:cs="宋体"/>
          <w:color w:val="auto"/>
          <w:sz w:val="24"/>
          <w:szCs w:val="24"/>
          <w:highlight w:val="none"/>
        </w:rPr>
      </w:pPr>
    </w:p>
    <w:p w14:paraId="5A5EE537">
      <w:pPr>
        <w:pageBreakBefore w:val="0"/>
        <w:widowControl w:val="0"/>
        <w:numPr>
          <w:ilvl w:val="0"/>
          <w:numId w:val="0"/>
        </w:numPr>
        <w:kinsoku/>
        <w:wordWrap/>
        <w:overflowPunct/>
        <w:topLinePunct w:val="0"/>
        <w:bidi w:val="0"/>
        <w:snapToGrid/>
        <w:spacing w:line="480" w:lineRule="auto"/>
        <w:ind w:firstLine="482" w:firstLineChars="200"/>
        <w:rPr>
          <w:rFonts w:hint="eastAsia" w:ascii="宋体" w:hAnsi="宋体" w:eastAsia="宋体" w:cs="宋体"/>
          <w:b/>
          <w:bCs/>
          <w:color w:val="auto"/>
          <w:sz w:val="24"/>
          <w:szCs w:val="24"/>
          <w:highlight w:val="none"/>
          <w:lang w:val="en-US" w:eastAsia="zh-CN"/>
        </w:rPr>
      </w:pPr>
    </w:p>
    <w:p w14:paraId="26AB9F99">
      <w:pPr>
        <w:pStyle w:val="3"/>
        <w:bidi w:val="0"/>
        <w:rPr>
          <w:rFonts w:hint="eastAsia"/>
          <w:lang w:val="en-US" w:eastAsia="zh-CN"/>
        </w:rPr>
      </w:pPr>
      <w:r>
        <w:rPr>
          <w:rFonts w:hint="eastAsia"/>
          <w:lang w:val="en-US" w:eastAsia="zh-CN"/>
        </w:rPr>
        <w:t>一、结算与付款方式：</w:t>
      </w:r>
    </w:p>
    <w:p w14:paraId="3D06BA7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rPr>
        <w:t>甲方依据递交至船上的“发货单”作为乙方履行</w:t>
      </w:r>
      <w:r>
        <w:rPr>
          <w:rFonts w:hint="eastAsia" w:ascii="宋体" w:hAnsi="宋体" w:eastAsia="宋体" w:cs="宋体"/>
          <w:b w:val="0"/>
          <w:bCs w:val="0"/>
          <w:color w:val="auto"/>
          <w:kern w:val="2"/>
          <w:sz w:val="21"/>
          <w:szCs w:val="21"/>
          <w:highlight w:val="none"/>
          <w:lang w:val="en-US" w:eastAsia="zh-CN"/>
        </w:rPr>
        <w:t>运输</w:t>
      </w:r>
      <w:r>
        <w:rPr>
          <w:rFonts w:hint="eastAsia" w:ascii="宋体" w:hAnsi="宋体" w:eastAsia="宋体" w:cs="宋体"/>
          <w:b w:val="0"/>
          <w:bCs w:val="0"/>
          <w:color w:val="auto"/>
          <w:kern w:val="2"/>
          <w:sz w:val="21"/>
          <w:szCs w:val="21"/>
          <w:highlight w:val="none"/>
        </w:rPr>
        <w:t>职责的凭证，并以此作为统计和结算的</w:t>
      </w:r>
      <w:r>
        <w:rPr>
          <w:rFonts w:hint="eastAsia" w:ascii="宋体" w:hAnsi="宋体" w:eastAsia="宋体" w:cs="宋体"/>
          <w:b w:val="0"/>
          <w:bCs w:val="0"/>
          <w:color w:val="auto"/>
          <w:kern w:val="2"/>
          <w:sz w:val="21"/>
          <w:szCs w:val="21"/>
          <w:highlight w:val="none"/>
          <w:lang w:val="en-US" w:eastAsia="zh-CN"/>
        </w:rPr>
        <w:t>依据</w:t>
      </w:r>
      <w:r>
        <w:rPr>
          <w:rFonts w:hint="eastAsia" w:ascii="宋体" w:hAnsi="宋体" w:eastAsia="宋体" w:cs="宋体"/>
          <w:b w:val="0"/>
          <w:bCs w:val="0"/>
          <w:color w:val="auto"/>
          <w:kern w:val="2"/>
          <w:sz w:val="21"/>
          <w:szCs w:val="21"/>
          <w:highlight w:val="none"/>
        </w:rPr>
        <w:t>。</w:t>
      </w:r>
    </w:p>
    <w:p w14:paraId="0FC7BC8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船运</w:t>
      </w:r>
      <w:r>
        <w:rPr>
          <w:rFonts w:hint="eastAsia" w:ascii="宋体" w:hAnsi="宋体" w:eastAsia="宋体" w:cs="宋体"/>
          <w:b w:val="0"/>
          <w:bCs w:val="0"/>
          <w:color w:val="auto"/>
          <w:sz w:val="21"/>
          <w:szCs w:val="21"/>
          <w:highlight w:val="none"/>
        </w:rPr>
        <w:t>发票由乙方统一开具，同时与签收</w:t>
      </w:r>
      <w:r>
        <w:rPr>
          <w:rFonts w:hint="eastAsia" w:ascii="宋体" w:hAnsi="宋体" w:eastAsia="宋体" w:cs="宋体"/>
          <w:b w:val="0"/>
          <w:bCs w:val="0"/>
          <w:color w:val="auto"/>
          <w:sz w:val="21"/>
          <w:szCs w:val="21"/>
          <w:highlight w:val="none"/>
          <w:lang w:val="en-US" w:eastAsia="zh-CN"/>
        </w:rPr>
        <w:t>货物</w:t>
      </w:r>
      <w:r>
        <w:rPr>
          <w:rFonts w:hint="eastAsia" w:ascii="宋体" w:hAnsi="宋体" w:eastAsia="宋体" w:cs="宋体"/>
          <w:b w:val="0"/>
          <w:bCs w:val="0"/>
          <w:color w:val="auto"/>
          <w:sz w:val="21"/>
          <w:szCs w:val="21"/>
          <w:highlight w:val="none"/>
        </w:rPr>
        <w:t>运输结算联到甲方办理</w:t>
      </w:r>
      <w:r>
        <w:rPr>
          <w:rFonts w:hint="eastAsia" w:ascii="宋体" w:hAnsi="宋体" w:eastAsia="宋体" w:cs="宋体"/>
          <w:b w:val="0"/>
          <w:bCs w:val="0"/>
          <w:color w:val="auto"/>
          <w:sz w:val="21"/>
          <w:szCs w:val="21"/>
          <w:highlight w:val="none"/>
          <w:lang w:eastAsia="zh-CN"/>
        </w:rPr>
        <w:t>。</w:t>
      </w:r>
    </w:p>
    <w:p w14:paraId="0FAD913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eastAsia="zh-CN"/>
        </w:rPr>
        <w:t>甲乙双方对账无误后，乙方应开具船运增值税专用发票，税率为</w:t>
      </w:r>
      <w:r>
        <w:rPr>
          <w:rFonts w:hint="eastAsia" w:hAnsi="宋体" w:cs="宋体"/>
          <w:b w:val="0"/>
          <w:bCs w:val="0"/>
          <w:color w:val="auto"/>
          <w:sz w:val="21"/>
          <w:szCs w:val="21"/>
          <w:highlight w:val="none"/>
          <w:lang w:val="en-US" w:eastAsia="zh-CN"/>
        </w:rPr>
        <w:t>9</w:t>
      </w:r>
      <w:r>
        <w:rPr>
          <w:rFonts w:hint="eastAsia" w:hAnsi="宋体" w:cs="宋体"/>
          <w:b w:val="0"/>
          <w:bCs w:val="0"/>
          <w:color w:val="auto"/>
          <w:sz w:val="21"/>
          <w:szCs w:val="21"/>
          <w:highlight w:val="none"/>
          <w:lang w:eastAsia="zh-CN"/>
        </w:rPr>
        <w:t>%。乙方票据应真实合法有效，否则甲方有权拒收并且追责。</w:t>
      </w:r>
    </w:p>
    <w:p w14:paraId="1A65EEA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4、费用支付：乙方每月</w:t>
      </w:r>
      <w:r>
        <w:rPr>
          <w:rFonts w:hint="eastAsia" w:hAnsi="宋体" w:cs="宋体"/>
          <w:b w:val="0"/>
          <w:bCs w:val="0"/>
          <w:color w:val="auto"/>
          <w:sz w:val="21"/>
          <w:szCs w:val="21"/>
          <w:highlight w:val="none"/>
          <w:lang w:val="en-US" w:eastAsia="zh-CN"/>
        </w:rPr>
        <w:t>25日</w:t>
      </w:r>
      <w:r>
        <w:rPr>
          <w:rFonts w:hint="eastAsia" w:ascii="宋体" w:hAnsi="宋体" w:eastAsia="宋体" w:cs="宋体"/>
          <w:b w:val="0"/>
          <w:bCs w:val="0"/>
          <w:color w:val="auto"/>
          <w:sz w:val="21"/>
          <w:szCs w:val="21"/>
          <w:highlight w:val="none"/>
          <w:lang w:val="en-US" w:eastAsia="zh-CN"/>
        </w:rPr>
        <w:t>到30</w:t>
      </w:r>
      <w:r>
        <w:rPr>
          <w:rFonts w:hint="eastAsia" w:hAnsi="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lang w:val="en-US" w:eastAsia="zh-CN"/>
        </w:rPr>
        <w:t>将当月已卸货船舶的运费明细出具运费结算单，待双方盖章确认后，乙方开具甲方在收到乙方开具9％的运输增值税专用发票给甲方，甲方在收到结算单及运输发票后于次月</w:t>
      </w:r>
      <w:r>
        <w:rPr>
          <w:rFonts w:hint="eastAsia" w:hAnsi="宋体" w:cs="宋体"/>
          <w:b w:val="0"/>
          <w:bCs w:val="0"/>
          <w:color w:val="auto"/>
          <w:sz w:val="21"/>
          <w:szCs w:val="21"/>
          <w:highlight w:val="none"/>
          <w:lang w:val="en-US" w:eastAsia="zh-CN"/>
        </w:rPr>
        <w:t>10日</w:t>
      </w:r>
      <w:r>
        <w:rPr>
          <w:rFonts w:hint="eastAsia" w:ascii="宋体" w:hAnsi="宋体" w:eastAsia="宋体" w:cs="宋体"/>
          <w:b w:val="0"/>
          <w:bCs w:val="0"/>
          <w:color w:val="auto"/>
          <w:sz w:val="21"/>
          <w:szCs w:val="21"/>
          <w:highlight w:val="none"/>
          <w:lang w:val="en-US" w:eastAsia="zh-CN"/>
        </w:rPr>
        <w:t>前支付运输费用给乙方。</w:t>
      </w:r>
      <w:r>
        <w:rPr>
          <w:rFonts w:hint="eastAsia" w:hAnsi="宋体" w:cs="宋体"/>
          <w:b w:val="0"/>
          <w:bCs w:val="0"/>
          <w:color w:val="auto"/>
          <w:sz w:val="21"/>
          <w:szCs w:val="21"/>
          <w:highlight w:val="none"/>
          <w:lang w:val="en-US" w:eastAsia="zh-CN"/>
        </w:rPr>
        <w:t>若乙方未按本合同约定提供发票，甲方有权相应延期支付费用，且延期期间不计利息。</w:t>
      </w:r>
    </w:p>
    <w:p w14:paraId="49572D8B">
      <w:pPr>
        <w:pStyle w:val="7"/>
        <w:pageBreakBefore w:val="0"/>
        <w:widowControl w:val="0"/>
        <w:kinsoku/>
        <w:wordWrap/>
        <w:overflowPunct/>
        <w:topLinePunct w:val="0"/>
        <w:bidi w:val="0"/>
        <w:snapToGrid/>
        <w:spacing w:line="48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5、乙方账户信息：</w:t>
      </w:r>
    </w:p>
    <w:p w14:paraId="0241CACA">
      <w:pPr>
        <w:pStyle w:val="7"/>
        <w:pageBreakBefore w:val="0"/>
        <w:widowControl w:val="0"/>
        <w:kinsoku/>
        <w:wordWrap/>
        <w:overflowPunct/>
        <w:topLinePunct w:val="0"/>
        <w:bidi w:val="0"/>
        <w:snapToGrid/>
        <w:spacing w:line="48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账户名称：</w:t>
      </w:r>
    </w:p>
    <w:p w14:paraId="6BF57A74">
      <w:pPr>
        <w:pStyle w:val="7"/>
        <w:pageBreakBefore w:val="0"/>
        <w:widowControl w:val="0"/>
        <w:kinsoku/>
        <w:wordWrap/>
        <w:overflowPunct/>
        <w:topLinePunct w:val="0"/>
        <w:bidi w:val="0"/>
        <w:snapToGrid/>
        <w:spacing w:line="48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开户行：</w:t>
      </w:r>
    </w:p>
    <w:p w14:paraId="5EE052D2">
      <w:pPr>
        <w:pStyle w:val="7"/>
        <w:pageBreakBefore w:val="0"/>
        <w:widowControl w:val="0"/>
        <w:kinsoku/>
        <w:wordWrap/>
        <w:overflowPunct/>
        <w:topLinePunct w:val="0"/>
        <w:bidi w:val="0"/>
        <w:snapToGrid/>
        <w:spacing w:line="48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账号：</w:t>
      </w:r>
    </w:p>
    <w:p w14:paraId="5210AD82">
      <w:pPr>
        <w:pStyle w:val="3"/>
        <w:bidi w:val="0"/>
        <w:rPr>
          <w:rFonts w:hint="eastAsia"/>
          <w:lang w:val="en-US" w:eastAsia="zh-CN"/>
        </w:rPr>
      </w:pPr>
      <w:r>
        <w:rPr>
          <w:rFonts w:hint="eastAsia"/>
          <w:lang w:val="en-US" w:eastAsia="zh-CN"/>
        </w:rPr>
        <w:t>二、违约责任</w:t>
      </w:r>
    </w:p>
    <w:p w14:paraId="028BA6CF">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1、乙方必须完成甲方月度的发运计划，未完成80%计划的，按未完成发运数量扣除</w:t>
      </w:r>
      <w:r>
        <w:rPr>
          <w:rFonts w:hint="eastAsia" w:ascii="宋体" w:hAnsi="宋体" w:eastAsia="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lang w:val="en-US" w:eastAsia="zh-CN"/>
        </w:rPr>
        <w:t>元/吨费用；甲方财务或审计有权对船运单价进行核实，</w:t>
      </w:r>
      <w:r>
        <w:rPr>
          <w:rFonts w:hint="eastAsia" w:hAnsi="宋体" w:cs="宋体"/>
          <w:b w:val="0"/>
          <w:bCs w:val="0"/>
          <w:color w:val="auto"/>
          <w:sz w:val="21"/>
          <w:szCs w:val="21"/>
          <w:highlight w:val="none"/>
          <w:lang w:val="en-US" w:eastAsia="zh-CN"/>
        </w:rPr>
        <w:t>经审</w:t>
      </w:r>
      <w:r>
        <w:rPr>
          <w:rFonts w:hint="eastAsia" w:ascii="宋体" w:hAnsi="宋体" w:eastAsia="宋体" w:cs="宋体"/>
          <w:b w:val="0"/>
          <w:bCs w:val="0"/>
          <w:color w:val="auto"/>
          <w:sz w:val="21"/>
          <w:szCs w:val="21"/>
          <w:highlight w:val="none"/>
          <w:lang w:val="en-US" w:eastAsia="zh-CN"/>
        </w:rPr>
        <w:t>查并相应佐证证明每次（艘）船运高于市场价格时，对乙方每次（艘）处违约金</w:t>
      </w:r>
      <w:r>
        <w:rPr>
          <w:rFonts w:hint="eastAsia" w:ascii="宋体" w:hAnsi="宋体" w:eastAsia="宋体" w:cs="宋体"/>
          <w:b w:val="0"/>
          <w:bCs w:val="0"/>
          <w:color w:val="auto"/>
          <w:sz w:val="21"/>
          <w:szCs w:val="21"/>
          <w:highlight w:val="none"/>
          <w:u w:val="single"/>
          <w:lang w:val="en-US" w:eastAsia="zh-CN"/>
        </w:rPr>
        <w:t>壹</w:t>
      </w:r>
      <w:r>
        <w:rPr>
          <w:rFonts w:hint="eastAsia" w:ascii="宋体" w:hAnsi="宋体" w:eastAsia="宋体" w:cs="宋体"/>
          <w:b w:val="0"/>
          <w:bCs w:val="0"/>
          <w:color w:val="auto"/>
          <w:sz w:val="21"/>
          <w:szCs w:val="21"/>
          <w:highlight w:val="none"/>
          <w:lang w:val="en-US" w:eastAsia="zh-CN"/>
        </w:rPr>
        <w:t>万元；甲方一旦发现乙方以同等或低于船运市场价格给其他企业装货的，处违约金</w:t>
      </w:r>
      <w:r>
        <w:rPr>
          <w:rFonts w:hint="eastAsia" w:ascii="宋体" w:hAnsi="宋体" w:eastAsia="宋体" w:cs="宋体"/>
          <w:b w:val="0"/>
          <w:bCs w:val="0"/>
          <w:color w:val="auto"/>
          <w:sz w:val="21"/>
          <w:szCs w:val="21"/>
          <w:highlight w:val="none"/>
          <w:u w:val="single"/>
          <w:lang w:val="en-US" w:eastAsia="zh-CN"/>
        </w:rPr>
        <w:t>伍</w:t>
      </w:r>
      <w:r>
        <w:rPr>
          <w:rFonts w:hint="eastAsia" w:ascii="宋体" w:hAnsi="宋体" w:eastAsia="宋体" w:cs="宋体"/>
          <w:b w:val="0"/>
          <w:bCs w:val="0"/>
          <w:color w:val="auto"/>
          <w:sz w:val="21"/>
          <w:szCs w:val="21"/>
          <w:highlight w:val="none"/>
          <w:lang w:val="en-US" w:eastAsia="zh-CN"/>
        </w:rPr>
        <w:t>万元，并有权无责解除合同，所有损失由乙方承担。</w:t>
      </w:r>
    </w:p>
    <w:p w14:paraId="2E855577">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2、在甲方不知情的情况下，乙方夹带、藏匿危险品或禁运品的，甲方有权单方解除本合同，并有权要求乙方承担已支付费用30%的违约金，同时提请司法机关追究乙方直接责任人员的相关责任。</w:t>
      </w:r>
    </w:p>
    <w:p w14:paraId="10F0FE77">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3、双方均应全面、充分履行本合同。若一方违约，</w:t>
      </w:r>
      <w:bookmarkStart w:id="27" w:name="_GoBack"/>
      <w:bookmarkEnd w:id="27"/>
      <w:r>
        <w:rPr>
          <w:rFonts w:hint="eastAsia" w:ascii="宋体" w:hAnsi="宋体" w:eastAsia="宋体" w:cs="宋体"/>
          <w:b w:val="0"/>
          <w:bCs w:val="0"/>
          <w:color w:val="auto"/>
          <w:sz w:val="21"/>
          <w:szCs w:val="21"/>
          <w:highlight w:val="none"/>
          <w:lang w:val="en-US" w:eastAsia="zh-CN"/>
        </w:rPr>
        <w:t>守约方维护合法权益，支付的诉讼费、保全费、保全保险费、律师费、向第三方支付违约金或赔偿金等由违约方承担。</w:t>
      </w:r>
    </w:p>
    <w:p w14:paraId="651D3055">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4、合同签订后，双方应严格履行合同义务，任何一方单方面终止合同的，应按照已支付费用的30%向对方支付违约金，且双方按乙方实际运输的数量进行结算。</w:t>
      </w:r>
    </w:p>
    <w:p w14:paraId="073E3482">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5、在乙方将货物交付收货人之前，甲方可以要求乙方中止运输、返还货物、变更到达地或者将标的物交给其他收货人，乙方应遵照甲方要求执行，因此增加的合理费用由甲方承担。</w:t>
      </w:r>
      <w:r>
        <w:rPr>
          <w:rFonts w:hint="eastAsia" w:hAnsi="宋体" w:cs="宋体"/>
          <w:b w:val="0"/>
          <w:bCs w:val="0"/>
          <w:color w:val="auto"/>
          <w:sz w:val="21"/>
          <w:szCs w:val="21"/>
          <w:highlight w:val="none"/>
          <w:lang w:val="en-US" w:eastAsia="zh-CN"/>
        </w:rPr>
        <w:t>若乙方未按照甲方要求执行，则需赔偿甲方因此遭受的所有损失，并额外承担标的物货值30%的违约金。</w:t>
      </w:r>
    </w:p>
    <w:p w14:paraId="7F7935BD">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hAnsi="宋体" w:cs="宋体"/>
          <w:b w:val="0"/>
          <w:bCs w:val="0"/>
          <w:color w:val="auto"/>
          <w:sz w:val="21"/>
          <w:szCs w:val="21"/>
          <w:highlight w:val="none"/>
          <w:lang w:val="en-US" w:eastAsia="zh-CN"/>
        </w:rPr>
        <w:t>乙方运输的货物到达目的地后，若重量偏差在千分之三以内，则视为正常损耗，乙方对此不承担任何责任。</w:t>
      </w:r>
      <w:r>
        <w:rPr>
          <w:rFonts w:hint="eastAsia" w:ascii="宋体" w:hAnsi="宋体" w:eastAsia="宋体" w:cs="宋体"/>
          <w:b w:val="0"/>
          <w:bCs w:val="0"/>
          <w:color w:val="auto"/>
          <w:sz w:val="21"/>
          <w:szCs w:val="21"/>
          <w:highlight w:val="none"/>
          <w:lang w:val="en-US" w:eastAsia="zh-CN"/>
        </w:rPr>
        <w:t>若超过该偏差值，乙方按当期靠水单价进行赔偿给甲方的损失费。</w:t>
      </w:r>
    </w:p>
    <w:p w14:paraId="4652682E">
      <w:pPr>
        <w:pStyle w:val="25"/>
        <w:pageBreakBefore w:val="0"/>
        <w:widowControl w:val="0"/>
        <w:numPr>
          <w:ilvl w:val="0"/>
          <w:numId w:val="0"/>
        </w:numPr>
        <w:kinsoku/>
        <w:wordWrap/>
        <w:overflowPunct/>
        <w:topLinePunct w:val="0"/>
        <w:bidi w:val="0"/>
        <w:snapToGrid/>
        <w:spacing w:line="48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运输过程中发生货物灭失，短少、变质，污染、冻损等，除因不可抗力、货物本身的自然性质或者合理损耗以及托运人、收货人的过错造成的以外，乙方应赔偿甲方损失（包括不限于标的物价款、仓储保管费、运杂费、赔偿收货人损失等及因实现此所发生的律师费、诉讼费等一切费用）。</w:t>
      </w:r>
    </w:p>
    <w:p w14:paraId="5B7C29EF">
      <w:pPr>
        <w:pStyle w:val="2"/>
        <w:pageBreakBefore w:val="0"/>
        <w:widowControl w:val="0"/>
        <w:kinsoku/>
        <w:wordWrap/>
        <w:overflowPunct/>
        <w:topLinePunct w:val="0"/>
        <w:bidi w:val="0"/>
        <w:snapToGrid/>
        <w:spacing w:line="480" w:lineRule="auto"/>
        <w:rPr>
          <w:rFonts w:hint="eastAsia" w:ascii="宋体" w:hAnsi="宋体" w:eastAsia="宋体" w:cs="宋体"/>
          <w:color w:val="auto"/>
          <w:highlight w:val="none"/>
          <w:lang w:eastAsia="zh-CN"/>
        </w:rPr>
      </w:pPr>
    </w:p>
    <w:sectPr>
      <w:headerReference r:id="rId8" w:type="default"/>
      <w:footerReference r:id="rId9" w:type="default"/>
      <w:pgSz w:w="11906" w:h="16838"/>
      <w:pgMar w:top="1440" w:right="106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1F0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B8ED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3CB8ED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F9CD">
    <w:pPr>
      <w:spacing w:line="192" w:lineRule="auto"/>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4055D">
                          <w:pPr>
                            <w:pStyle w:val="12"/>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994055D">
                    <w:pPr>
                      <w:pStyle w:val="12"/>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2FD9">
    <w:pPr>
      <w:pStyle w:val="13"/>
      <w:pBdr>
        <w:bottom w:val="none" w:color="auto" w:sz="0" w:space="1"/>
      </w:pBdr>
      <w:jc w:val="both"/>
      <w:rPr>
        <w:rFonts w:hint="eastAsia"/>
        <w:lang w:val="en-US" w:eastAsia="zh-CN"/>
      </w:rPr>
    </w:pPr>
    <w:r>
      <w:rPr>
        <w:rFonts w:hint="eastAsia"/>
        <w:lang w:val="en-US" w:eastAsia="zh-CN"/>
      </w:rPr>
      <w:t xml:space="preserve">                      </w:t>
    </w:r>
  </w:p>
  <w:p w14:paraId="6B43E92E">
    <w:pPr>
      <w:pStyle w:val="13"/>
      <w:pBdr>
        <w:bottom w:val="none" w:color="auto" w:sz="0" w:space="1"/>
      </w:pBdr>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C0B8">
    <w:pPr>
      <w:pStyle w:val="13"/>
      <w:pBdr>
        <w:bottom w:val="none" w:color="auto" w:sz="0" w:space="1"/>
      </w:pBdr>
      <w:jc w:val="both"/>
      <w:rPr>
        <w:rFonts w:hint="eastAsia"/>
        <w:lang w:val="en-US" w:eastAsia="zh-CN"/>
      </w:rPr>
    </w:pPr>
    <w:r>
      <w:rPr>
        <w:rFonts w:hint="eastAsia"/>
        <w:lang w:val="en-US" w:eastAsia="zh-CN"/>
      </w:rPr>
      <w:t xml:space="preserve">                      </w:t>
    </w:r>
  </w:p>
  <w:p w14:paraId="1A12CBCF">
    <w:pPr>
      <w:pStyle w:val="13"/>
      <w:pBdr>
        <w:bottom w:val="none" w:color="auto" w:sz="0" w:space="1"/>
      </w:pBdr>
      <w:rPr>
        <w:rFonts w:hint="default"/>
        <w:lang w:val="en-US"/>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14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5949AF"/>
    <w:multiLevelType w:val="multilevel"/>
    <w:tmpl w:val="445949AF"/>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ZDE4OWRmM2Q5MTA0OWU1OGE4ZWU5YmY1YTc0YzQifQ=="/>
    <w:docVar w:name="KSO_WPS_MARK_KEY" w:val="33b06286-c08c-4290-97ab-d199520c024a"/>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102263D"/>
    <w:rsid w:val="02E05AD3"/>
    <w:rsid w:val="03387C8A"/>
    <w:rsid w:val="0386266E"/>
    <w:rsid w:val="03FB03BA"/>
    <w:rsid w:val="04C74740"/>
    <w:rsid w:val="051E2428"/>
    <w:rsid w:val="07CD2ECC"/>
    <w:rsid w:val="0AB675BF"/>
    <w:rsid w:val="0D591B56"/>
    <w:rsid w:val="11847C41"/>
    <w:rsid w:val="118618E2"/>
    <w:rsid w:val="1312207C"/>
    <w:rsid w:val="13DC1187"/>
    <w:rsid w:val="13FC4407"/>
    <w:rsid w:val="1C565BCF"/>
    <w:rsid w:val="1E175970"/>
    <w:rsid w:val="1F9C278B"/>
    <w:rsid w:val="1FBD4E0F"/>
    <w:rsid w:val="203F4FE2"/>
    <w:rsid w:val="241304E9"/>
    <w:rsid w:val="24C924D8"/>
    <w:rsid w:val="26920801"/>
    <w:rsid w:val="27C546B8"/>
    <w:rsid w:val="2CC35757"/>
    <w:rsid w:val="2D8761A9"/>
    <w:rsid w:val="31614C7D"/>
    <w:rsid w:val="373B1D15"/>
    <w:rsid w:val="37702892"/>
    <w:rsid w:val="38AA1DCC"/>
    <w:rsid w:val="3B677DCE"/>
    <w:rsid w:val="3C761B0F"/>
    <w:rsid w:val="3DEE1F76"/>
    <w:rsid w:val="3E3868DC"/>
    <w:rsid w:val="3F22481B"/>
    <w:rsid w:val="40C157CD"/>
    <w:rsid w:val="430F11B1"/>
    <w:rsid w:val="440E76BA"/>
    <w:rsid w:val="45D87F80"/>
    <w:rsid w:val="46AF5C60"/>
    <w:rsid w:val="4E015C8C"/>
    <w:rsid w:val="509713E0"/>
    <w:rsid w:val="51D7236B"/>
    <w:rsid w:val="52903990"/>
    <w:rsid w:val="589A6CB1"/>
    <w:rsid w:val="5A52456E"/>
    <w:rsid w:val="5DE84EFB"/>
    <w:rsid w:val="5DEC2410"/>
    <w:rsid w:val="64C9520C"/>
    <w:rsid w:val="67FE72B0"/>
    <w:rsid w:val="6B060AC6"/>
    <w:rsid w:val="6B117386"/>
    <w:rsid w:val="6D0149E4"/>
    <w:rsid w:val="6D016D08"/>
    <w:rsid w:val="6D0F43FC"/>
    <w:rsid w:val="6F5A4CB2"/>
    <w:rsid w:val="7419513C"/>
    <w:rsid w:val="74657FD1"/>
    <w:rsid w:val="75715111"/>
    <w:rsid w:val="76026F36"/>
    <w:rsid w:val="76253217"/>
    <w:rsid w:val="7AA94C6A"/>
    <w:rsid w:val="7E5D031B"/>
    <w:rsid w:val="7EDC7492"/>
    <w:rsid w:val="7F62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2">
    <w:name w:val="heading 1"/>
    <w:basedOn w:val="1"/>
    <w:next w:val="1"/>
    <w:link w:val="19"/>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20"/>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Normal Indent"/>
    <w:qFormat/>
    <w:uiPriority w:val="0"/>
    <w:pPr>
      <w:widowControl w:val="0"/>
      <w:autoSpaceDE w:val="0"/>
      <w:autoSpaceDN w:val="0"/>
      <w:ind w:firstLine="420" w:firstLineChars="200"/>
    </w:pPr>
    <w:rPr>
      <w:rFonts w:ascii="宋体" w:hAnsi="宋体" w:eastAsia="宋体" w:cs="宋体"/>
      <w:sz w:val="28"/>
      <w:lang w:val="zh-CN" w:eastAsia="zh-CN" w:bidi="zh-CN"/>
    </w:rPr>
  </w:style>
  <w:style w:type="paragraph" w:styleId="8">
    <w:name w:val="Salutation"/>
    <w:basedOn w:val="1"/>
    <w:next w:val="1"/>
    <w:link w:val="23"/>
    <w:qFormat/>
    <w:uiPriority w:val="0"/>
    <w:pPr>
      <w:autoSpaceDE/>
      <w:autoSpaceDN/>
      <w:adjustRightInd/>
      <w:spacing w:line="240" w:lineRule="auto"/>
      <w:textAlignment w:val="auto"/>
    </w:pPr>
    <w:rPr>
      <w:rFonts w:ascii="Times New Roman" w:hAnsi="Times New Roman"/>
      <w:kern w:val="2"/>
      <w:sz w:val="30"/>
      <w:szCs w:val="30"/>
    </w:rPr>
  </w:style>
  <w:style w:type="paragraph" w:styleId="9">
    <w:name w:val="Closing"/>
    <w:basedOn w:val="1"/>
    <w:link w:val="24"/>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10">
    <w:name w:val="Body Text"/>
    <w:basedOn w:val="1"/>
    <w:next w:val="1"/>
    <w:qFormat/>
    <w:uiPriority w:val="0"/>
    <w:pPr>
      <w:autoSpaceDE w:val="0"/>
      <w:autoSpaceDN w:val="0"/>
      <w:spacing w:line="320" w:lineRule="atLeast"/>
      <w:textAlignment w:val="bottom"/>
    </w:pPr>
    <w:rPr>
      <w:rFonts w:hAnsi="宋体"/>
      <w:bCs/>
      <w:color w:val="FF0000"/>
      <w:sz w:val="28"/>
    </w:rPr>
  </w:style>
  <w:style w:type="paragraph" w:styleId="11">
    <w:name w:val="Plain Text"/>
    <w:basedOn w:val="1"/>
    <w:qFormat/>
    <w:uiPriority w:val="0"/>
    <w:rPr>
      <w:rFonts w:ascii="宋体" w:hAnsi="Courier New"/>
    </w:rPr>
  </w:style>
  <w:style w:type="paragraph" w:styleId="12">
    <w:name w:val="footer"/>
    <w:basedOn w:val="1"/>
    <w:link w:val="27"/>
    <w:semiHidden/>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2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qFormat/>
    <w:uiPriority w:val="39"/>
  </w:style>
  <w:style w:type="paragraph" w:styleId="1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标题 1 Char"/>
    <w:basedOn w:val="18"/>
    <w:link w:val="2"/>
    <w:qFormat/>
    <w:uiPriority w:val="0"/>
    <w:rPr>
      <w:rFonts w:ascii="宋体" w:hAnsi="Tms Rmn" w:eastAsia="宋体" w:cs="Times New Roman"/>
      <w:b/>
      <w:bCs/>
      <w:kern w:val="44"/>
      <w:sz w:val="44"/>
      <w:szCs w:val="44"/>
    </w:rPr>
  </w:style>
  <w:style w:type="character" w:customStyle="1" w:styleId="20">
    <w:name w:val="标题 2 Char"/>
    <w:basedOn w:val="18"/>
    <w:link w:val="3"/>
    <w:qFormat/>
    <w:uiPriority w:val="0"/>
    <w:rPr>
      <w:rFonts w:ascii="Times New Roman" w:hAnsi="Times New Roman" w:eastAsia="宋体" w:cs="Times New Roman"/>
      <w:b/>
      <w:kern w:val="28"/>
      <w:sz w:val="28"/>
      <w:szCs w:val="20"/>
    </w:rPr>
  </w:style>
  <w:style w:type="paragraph" w:customStyle="1" w:styleId="21">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22">
    <w:name w:val="样式 标题1"/>
    <w:basedOn w:val="2"/>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23">
    <w:name w:val="称呼 Char"/>
    <w:basedOn w:val="18"/>
    <w:link w:val="8"/>
    <w:qFormat/>
    <w:uiPriority w:val="0"/>
    <w:rPr>
      <w:rFonts w:ascii="Times New Roman" w:hAnsi="Times New Roman" w:eastAsia="宋体" w:cs="Times New Roman"/>
      <w:sz w:val="30"/>
      <w:szCs w:val="30"/>
    </w:rPr>
  </w:style>
  <w:style w:type="character" w:customStyle="1" w:styleId="24">
    <w:name w:val="结束语 Char"/>
    <w:basedOn w:val="18"/>
    <w:link w:val="9"/>
    <w:qFormat/>
    <w:uiPriority w:val="0"/>
    <w:rPr>
      <w:rFonts w:ascii="Times New Roman" w:hAnsi="Times New Roman" w:eastAsia="宋体" w:cs="Times New Roman"/>
      <w:sz w:val="30"/>
      <w:szCs w:val="30"/>
    </w:rPr>
  </w:style>
  <w:style w:type="paragraph" w:styleId="25">
    <w:name w:val="List Paragraph"/>
    <w:basedOn w:val="1"/>
    <w:qFormat/>
    <w:uiPriority w:val="34"/>
    <w:pPr>
      <w:ind w:firstLine="420" w:firstLineChars="200"/>
    </w:pPr>
  </w:style>
  <w:style w:type="character" w:customStyle="1" w:styleId="26">
    <w:name w:val="页眉 Char"/>
    <w:basedOn w:val="18"/>
    <w:link w:val="13"/>
    <w:semiHidden/>
    <w:qFormat/>
    <w:uiPriority w:val="99"/>
    <w:rPr>
      <w:rFonts w:ascii="宋体" w:hAnsi="Tms Rmn" w:eastAsia="宋体" w:cs="Times New Roman"/>
      <w:kern w:val="0"/>
      <w:sz w:val="18"/>
      <w:szCs w:val="18"/>
    </w:rPr>
  </w:style>
  <w:style w:type="character" w:customStyle="1" w:styleId="27">
    <w:name w:val="页脚 Char"/>
    <w:basedOn w:val="18"/>
    <w:link w:val="12"/>
    <w:semiHidden/>
    <w:qFormat/>
    <w:uiPriority w:val="99"/>
    <w:rPr>
      <w:rFonts w:ascii="宋体" w:hAnsi="Tms Rmn" w:eastAsia="宋体" w:cs="Times New Roman"/>
      <w:kern w:val="0"/>
      <w:sz w:val="18"/>
      <w:szCs w:val="18"/>
    </w:rPr>
  </w:style>
  <w:style w:type="paragraph" w:customStyle="1" w:styleId="28">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5955</Words>
  <Characters>6206</Characters>
  <Lines>28</Lines>
  <Paragraphs>7</Paragraphs>
  <TotalTime>17</TotalTime>
  <ScaleCrop>false</ScaleCrop>
  <LinksUpToDate>false</LinksUpToDate>
  <CharactersWithSpaces>6924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李科良</cp:lastModifiedBy>
  <dcterms:modified xsi:type="dcterms:W3CDTF">2025-02-07T10:32:52Z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198685F35D1F49318297C28FBA1F6053_13</vt:lpwstr>
  </property>
  <property fmtid="{D5CDD505-2E9C-101B-9397-08002B2CF9AE}" pid="4" name="KSOTemplateDocerSaveRecord">
    <vt:lpwstr>eyJoZGlkIjoiYzIwY2IzZmEzNGU1YTFkNzhjNDg0NTAyNTY5MDU5YzQiLCJ1c2VySWQiOiI0ODM5NDIxNTcifQ==</vt:lpwstr>
  </property>
</Properties>
</file>